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19CEE">
      <w:pPr>
        <w:spacing w:before="240" w:beforeLines="100"/>
        <w:jc w:val="center"/>
        <w:rPr>
          <w:rFonts w:ascii="Times New Roman" w:hAnsi="Times New Roman" w:eastAsia="方正小标宋简体" w:cs="Times New Roman"/>
          <w:color w:val="auto"/>
          <w:sz w:val="40"/>
          <w:szCs w:val="40"/>
          <w:highlight w:val="none"/>
          <w:lang w:eastAsia="zh-CN"/>
        </w:rPr>
      </w:pPr>
      <w:bookmarkStart w:id="0" w:name="_Hlk176873677"/>
      <w:r>
        <w:rPr>
          <w:rFonts w:ascii="Times New Roman" w:hAnsi="Times New Roman" w:eastAsia="方正小标宋简体" w:cs="Times New Roman"/>
          <w:color w:val="auto"/>
          <w:sz w:val="40"/>
          <w:szCs w:val="40"/>
          <w:highlight w:val="none"/>
          <w:lang w:eastAsia="zh-CN"/>
        </w:rPr>
        <w:t>食品科学与工程学院推荐优秀应届本科毕业生</w:t>
      </w:r>
      <w:r>
        <w:rPr>
          <w:rFonts w:hint="eastAsia" w:ascii="Times New Roman" w:hAnsi="Times New Roman" w:eastAsia="方正小标宋简体" w:cs="Times New Roman"/>
          <w:color w:val="auto"/>
          <w:sz w:val="40"/>
          <w:szCs w:val="40"/>
          <w:highlight w:val="none"/>
          <w:lang w:eastAsia="zh-CN"/>
        </w:rPr>
        <w:t xml:space="preserve">  </w:t>
      </w:r>
      <w:r>
        <w:rPr>
          <w:rFonts w:ascii="Times New Roman" w:hAnsi="Times New Roman" w:eastAsia="方正小标宋简体" w:cs="Times New Roman"/>
          <w:color w:val="auto"/>
          <w:sz w:val="40"/>
          <w:szCs w:val="40"/>
          <w:highlight w:val="none"/>
          <w:lang w:eastAsia="zh-CN"/>
        </w:rPr>
        <w:t>免试攻读硕士学位研究生实施细则</w:t>
      </w:r>
    </w:p>
    <w:bookmarkEnd w:id="0"/>
    <w:p w14:paraId="2E5E45CE">
      <w:pPr>
        <w:adjustRightInd w:val="0"/>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pacing w:val="0"/>
          <w:kern w:val="0"/>
          <w:sz w:val="32"/>
          <w:szCs w:val="32"/>
          <w:highlight w:val="none"/>
          <w:fitText w:val="1929" w:id="1089227883"/>
          <w:lang w:eastAsia="zh-CN"/>
        </w:rPr>
        <w:t>第一章  总则</w:t>
      </w:r>
    </w:p>
    <w:p w14:paraId="71A8C6AD">
      <w:pPr>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color w:val="auto"/>
          <w:sz w:val="32"/>
          <w:szCs w:val="32"/>
          <w:highlight w:val="none"/>
          <w:lang w:eastAsia="zh-CN"/>
        </w:rPr>
        <w:t>第一条</w:t>
      </w:r>
      <w:r>
        <w:rPr>
          <w:rFonts w:ascii="Times New Roman" w:hAnsi="Times New Roman" w:eastAsia="仿宋" w:cs="Times New Roman"/>
          <w:color w:val="auto"/>
          <w:sz w:val="32"/>
          <w:szCs w:val="32"/>
          <w:highlight w:val="none"/>
          <w:lang w:eastAsia="zh-CN"/>
        </w:rPr>
        <w:t xml:space="preserve">  为进一步做好我院推荐优秀应届本科毕业生免试攻读研究生（以下简称推免）工作，根据《西北农林科技大学推荐优秀应届本科毕业生免试攻读研究生实施办法》（校研发〔2024〕236号）文件规定，本着公平、公正、公开的原则，结合学院实际，制定本实施细则。</w:t>
      </w:r>
    </w:p>
    <w:p w14:paraId="72DAC8B1">
      <w:pPr>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color w:val="auto"/>
          <w:sz w:val="32"/>
          <w:szCs w:val="32"/>
          <w:highlight w:val="none"/>
          <w:lang w:eastAsia="zh-CN"/>
        </w:rPr>
        <w:t>第二条</w:t>
      </w:r>
      <w:r>
        <w:rPr>
          <w:rFonts w:ascii="Times New Roman" w:hAnsi="Times New Roman" w:eastAsia="仿宋" w:cs="Times New Roman"/>
          <w:color w:val="auto"/>
          <w:sz w:val="32"/>
          <w:szCs w:val="32"/>
          <w:highlight w:val="none"/>
          <w:lang w:eastAsia="zh-CN"/>
        </w:rPr>
        <w:t xml:space="preserve">  本细则所称应届本科毕业生是指我校纳入国家普通本科招生计划录取的应届本科毕业生（不含第二学士学位学生）。</w:t>
      </w:r>
    </w:p>
    <w:p w14:paraId="4E52133B">
      <w:pPr>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color w:val="auto"/>
          <w:sz w:val="32"/>
          <w:szCs w:val="32"/>
          <w:highlight w:val="none"/>
          <w:lang w:eastAsia="zh-CN"/>
        </w:rPr>
        <w:t>第三条</w:t>
      </w:r>
      <w:r>
        <w:rPr>
          <w:rFonts w:ascii="Times New Roman" w:hAnsi="Times New Roman" w:eastAsia="仿宋" w:cs="Times New Roman"/>
          <w:color w:val="auto"/>
          <w:sz w:val="32"/>
          <w:szCs w:val="32"/>
          <w:highlight w:val="none"/>
          <w:lang w:eastAsia="zh-CN"/>
        </w:rPr>
        <w:t xml:space="preserve">  本细则适用于食品科学与工程专业、食品质量与安全专业、</w:t>
      </w:r>
      <w:r>
        <w:rPr>
          <w:rFonts w:hint="eastAsia" w:ascii="Times New Roman" w:hAnsi="Times New Roman" w:eastAsia="仿宋" w:cs="Times New Roman"/>
          <w:color w:val="auto"/>
          <w:sz w:val="32"/>
          <w:szCs w:val="32"/>
          <w:highlight w:val="none"/>
          <w:lang w:val="en-US" w:eastAsia="zh-CN"/>
        </w:rPr>
        <w:t>食品营养与健康（卓越班）专业、</w:t>
      </w:r>
      <w:r>
        <w:rPr>
          <w:rFonts w:ascii="Times New Roman" w:hAnsi="Times New Roman" w:eastAsia="仿宋" w:cs="Times New Roman"/>
          <w:color w:val="auto"/>
          <w:sz w:val="32"/>
          <w:szCs w:val="32"/>
          <w:highlight w:val="none"/>
          <w:lang w:eastAsia="zh-CN"/>
        </w:rPr>
        <w:t>食品科学与工程（中外合作办学）专业</w:t>
      </w:r>
      <w:r>
        <w:rPr>
          <w:rFonts w:hint="eastAsia" w:ascii="Times New Roman" w:hAnsi="Times New Roman" w:eastAsia="仿宋" w:cs="Times New Roman"/>
          <w:color w:val="auto"/>
          <w:sz w:val="32"/>
          <w:szCs w:val="32"/>
          <w:highlight w:val="none"/>
          <w:lang w:eastAsia="zh-CN"/>
        </w:rPr>
        <w:t>应届</w:t>
      </w:r>
      <w:r>
        <w:rPr>
          <w:rFonts w:ascii="仿宋" w:hAnsi="仿宋" w:eastAsia="仿宋"/>
          <w:color w:val="auto"/>
          <w:sz w:val="32"/>
          <w:szCs w:val="32"/>
          <w:highlight w:val="none"/>
          <w:lang w:eastAsia="zh-CN"/>
        </w:rPr>
        <w:t>本科</w:t>
      </w:r>
      <w:r>
        <w:rPr>
          <w:rFonts w:hint="eastAsia" w:ascii="Times New Roman" w:hAnsi="Times New Roman" w:eastAsia="仿宋" w:cs="Times New Roman"/>
          <w:color w:val="auto"/>
          <w:sz w:val="32"/>
          <w:szCs w:val="32"/>
          <w:highlight w:val="none"/>
          <w:lang w:eastAsia="zh-CN"/>
        </w:rPr>
        <w:t>毕业生</w:t>
      </w:r>
      <w:r>
        <w:rPr>
          <w:rFonts w:ascii="仿宋" w:hAnsi="仿宋" w:eastAsia="仿宋"/>
          <w:color w:val="auto"/>
          <w:sz w:val="32"/>
          <w:szCs w:val="32"/>
          <w:highlight w:val="none"/>
          <w:lang w:eastAsia="zh-CN"/>
        </w:rPr>
        <w:t>应届本科毕业生</w:t>
      </w:r>
      <w:r>
        <w:rPr>
          <w:rFonts w:ascii="Times New Roman" w:hAnsi="Times New Roman" w:eastAsia="仿宋" w:cs="Times New Roman"/>
          <w:color w:val="auto"/>
          <w:sz w:val="32"/>
          <w:szCs w:val="32"/>
          <w:highlight w:val="none"/>
          <w:lang w:eastAsia="zh-CN"/>
        </w:rPr>
        <w:t>。</w:t>
      </w:r>
    </w:p>
    <w:p w14:paraId="3DB88BAF">
      <w:pPr>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z w:val="32"/>
          <w:szCs w:val="32"/>
          <w:highlight w:val="none"/>
          <w:lang w:eastAsia="zh-CN"/>
        </w:rPr>
        <w:t>第二章 组织机构</w:t>
      </w:r>
    </w:p>
    <w:p w14:paraId="6BD39CD3">
      <w:pPr>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color w:val="auto"/>
          <w:sz w:val="32"/>
          <w:szCs w:val="32"/>
          <w:highlight w:val="none"/>
          <w:lang w:eastAsia="zh-CN"/>
        </w:rPr>
        <w:t>第四条</w:t>
      </w:r>
      <w:r>
        <w:rPr>
          <w:rFonts w:ascii="Times New Roman" w:hAnsi="Times New Roman" w:eastAsia="仿宋" w:cs="Times New Roman"/>
          <w:color w:val="auto"/>
          <w:sz w:val="32"/>
          <w:szCs w:val="32"/>
          <w:highlight w:val="none"/>
          <w:lang w:eastAsia="zh-CN"/>
        </w:rPr>
        <w:t xml:space="preserve">  学院成立推免生遴选工作组</w:t>
      </w:r>
      <w:r>
        <w:rPr>
          <w:rFonts w:hint="eastAsia" w:ascii="Times New Roman" w:hAnsi="Times New Roman" w:eastAsia="仿宋" w:cs="Times New Roman"/>
          <w:color w:val="auto"/>
          <w:sz w:val="32"/>
          <w:szCs w:val="32"/>
          <w:highlight w:val="none"/>
          <w:lang w:eastAsia="zh-CN"/>
        </w:rPr>
        <w:t>、</w:t>
      </w:r>
      <w:r>
        <w:rPr>
          <w:rFonts w:ascii="Times New Roman" w:hAnsi="Times New Roman" w:eastAsia="仿宋" w:cs="Times New Roman"/>
          <w:color w:val="auto"/>
          <w:sz w:val="32"/>
          <w:szCs w:val="32"/>
          <w:highlight w:val="none"/>
          <w:lang w:eastAsia="zh-CN"/>
        </w:rPr>
        <w:t>推免生遴选监督工作小组</w:t>
      </w:r>
      <w:r>
        <w:rPr>
          <w:rFonts w:hint="eastAsia" w:ascii="Times New Roman" w:hAnsi="Times New Roman" w:eastAsia="仿宋" w:cs="Times New Roman"/>
          <w:color w:val="auto"/>
          <w:sz w:val="32"/>
          <w:szCs w:val="32"/>
          <w:highlight w:val="none"/>
          <w:lang w:val="en-US" w:eastAsia="zh-CN"/>
        </w:rPr>
        <w:t>和材料审核专家组</w:t>
      </w:r>
      <w:r>
        <w:rPr>
          <w:rFonts w:ascii="Times New Roman" w:hAnsi="Times New Roman" w:cs="Times New Roman" w:eastAsiaTheme="minorEastAsia"/>
          <w:color w:val="auto"/>
          <w:highlight w:val="none"/>
          <w:lang w:eastAsia="zh-CN"/>
        </w:rPr>
        <w:t>。</w:t>
      </w:r>
    </w:p>
    <w:p w14:paraId="30344C34">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1.推免生遴选工作组</w:t>
      </w:r>
    </w:p>
    <w:p w14:paraId="615C42FA">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组  长：吕  欣</w:t>
      </w:r>
    </w:p>
    <w:p w14:paraId="2B8253BA">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pacing w:val="0"/>
          <w:kern w:val="0"/>
          <w:sz w:val="32"/>
          <w:szCs w:val="32"/>
          <w:highlight w:val="none"/>
          <w:fitText w:val="960" w:id="3"/>
          <w:lang w:eastAsia="zh-CN"/>
        </w:rPr>
        <w:t>副组长</w:t>
      </w:r>
      <w:r>
        <w:rPr>
          <w:rFonts w:ascii="Times New Roman" w:hAnsi="Times New Roman" w:eastAsia="仿宋" w:cs="Times New Roman"/>
          <w:color w:val="auto"/>
          <w:sz w:val="32"/>
          <w:szCs w:val="32"/>
          <w:highlight w:val="none"/>
          <w:lang w:eastAsia="zh-CN"/>
        </w:rPr>
        <w:t>：王云阳</w:t>
      </w:r>
      <w:r>
        <w:rPr>
          <w:rFonts w:hint="eastAsia" w:ascii="Times New Roman" w:hAnsi="Times New Roman" w:eastAsia="仿宋" w:cs="Times New Roman"/>
          <w:color w:val="auto"/>
          <w:sz w:val="32"/>
          <w:szCs w:val="32"/>
          <w:highlight w:val="none"/>
          <w:lang w:eastAsia="zh-CN"/>
        </w:rPr>
        <w:t>、</w:t>
      </w:r>
      <w:r>
        <w:rPr>
          <w:rFonts w:ascii="Times New Roman" w:hAnsi="Times New Roman" w:eastAsia="仿宋" w:cs="Times New Roman"/>
          <w:color w:val="auto"/>
          <w:sz w:val="32"/>
          <w:szCs w:val="32"/>
          <w:highlight w:val="none"/>
          <w:lang w:eastAsia="zh-CN"/>
        </w:rPr>
        <w:t>李巨秀</w:t>
      </w:r>
    </w:p>
    <w:p w14:paraId="41D2D76B">
      <w:pPr>
        <w:spacing w:line="560" w:lineRule="exact"/>
        <w:ind w:left="2878" w:leftChars="290" w:hanging="2240" w:hangingChars="700"/>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pacing w:val="0"/>
          <w:kern w:val="0"/>
          <w:sz w:val="32"/>
          <w:szCs w:val="32"/>
          <w:highlight w:val="none"/>
          <w:fitText w:val="960" w:id="4"/>
          <w:lang w:eastAsia="zh-CN"/>
        </w:rPr>
        <w:t>成  员</w:t>
      </w:r>
      <w:r>
        <w:rPr>
          <w:rFonts w:ascii="Times New Roman" w:hAnsi="Times New Roman" w:eastAsia="仿宋" w:cs="Times New Roman"/>
          <w:color w:val="auto"/>
          <w:sz w:val="32"/>
          <w:szCs w:val="32"/>
          <w:highlight w:val="none"/>
          <w:lang w:eastAsia="zh-CN"/>
        </w:rPr>
        <w:t>：王  敏</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王周利</w:t>
      </w:r>
      <w:r>
        <w:rPr>
          <w:rFonts w:hint="eastAsia" w:ascii="Times New Roman" w:hAnsi="Times New Roman" w:eastAsia="仿宋" w:cs="Times New Roman"/>
          <w:color w:val="auto"/>
          <w:sz w:val="32"/>
          <w:szCs w:val="32"/>
          <w:highlight w:val="none"/>
          <w:lang w:eastAsia="zh-CN"/>
        </w:rPr>
        <w:t>、</w:t>
      </w:r>
      <w:r>
        <w:rPr>
          <w:rFonts w:ascii="Times New Roman" w:hAnsi="Times New Roman" w:eastAsia="仿宋" w:cs="Times New Roman"/>
          <w:color w:val="auto"/>
          <w:sz w:val="32"/>
          <w:szCs w:val="32"/>
          <w:highlight w:val="none"/>
          <w:lang w:eastAsia="zh-CN"/>
        </w:rPr>
        <w:t>王妍入</w:t>
      </w:r>
      <w:r>
        <w:rPr>
          <w:rFonts w:hint="eastAsia" w:ascii="Times New Roman" w:hAnsi="Times New Roman" w:eastAsia="仿宋" w:cs="Times New Roman"/>
          <w:color w:val="auto"/>
          <w:sz w:val="32"/>
          <w:szCs w:val="32"/>
          <w:highlight w:val="none"/>
          <w:lang w:eastAsia="zh-CN"/>
        </w:rPr>
        <w:t>、</w:t>
      </w:r>
      <w:r>
        <w:rPr>
          <w:rFonts w:ascii="Times New Roman" w:hAnsi="Times New Roman" w:eastAsia="仿宋" w:cs="Times New Roman"/>
          <w:color w:val="auto"/>
          <w:sz w:val="32"/>
          <w:szCs w:val="32"/>
          <w:highlight w:val="none"/>
          <w:lang w:eastAsia="zh-CN"/>
        </w:rPr>
        <w:t>熊金苹</w:t>
      </w:r>
      <w:r>
        <w:rPr>
          <w:rFonts w:hint="eastAsia" w:ascii="Times New Roman" w:hAnsi="Times New Roman" w:eastAsia="仿宋" w:cs="Times New Roman"/>
          <w:color w:val="auto"/>
          <w:sz w:val="32"/>
          <w:szCs w:val="32"/>
          <w:highlight w:val="none"/>
          <w:lang w:eastAsia="zh-CN"/>
        </w:rPr>
        <w:t>、</w:t>
      </w:r>
      <w:r>
        <w:rPr>
          <w:rFonts w:ascii="Times New Roman" w:hAnsi="Times New Roman" w:eastAsia="仿宋" w:cs="Times New Roman"/>
          <w:color w:val="auto"/>
          <w:sz w:val="32"/>
          <w:szCs w:val="32"/>
          <w:highlight w:val="none"/>
          <w:lang w:eastAsia="zh-CN"/>
        </w:rPr>
        <w:t>刘  娜</w:t>
      </w:r>
    </w:p>
    <w:p w14:paraId="509EFD56">
      <w:pPr>
        <w:spacing w:line="560" w:lineRule="exact"/>
        <w:ind w:left="2278" w:leftChars="890" w:hanging="320" w:hangingChars="100"/>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张楠春</w:t>
      </w:r>
      <w:r>
        <w:rPr>
          <w:rFonts w:hint="eastAsia" w:ascii="Times New Roman" w:hAnsi="Times New Roman" w:eastAsia="仿宋" w:cs="Times New Roman"/>
          <w:color w:val="auto"/>
          <w:sz w:val="32"/>
          <w:szCs w:val="32"/>
          <w:highlight w:val="none"/>
          <w:lang w:eastAsia="zh-CN"/>
        </w:rPr>
        <w:t>、</w:t>
      </w:r>
      <w:r>
        <w:rPr>
          <w:rFonts w:ascii="Times New Roman" w:hAnsi="Times New Roman" w:eastAsia="仿宋" w:cs="Times New Roman"/>
          <w:color w:val="auto"/>
          <w:sz w:val="32"/>
          <w:szCs w:val="32"/>
          <w:highlight w:val="none"/>
          <w:lang w:eastAsia="zh-CN"/>
        </w:rPr>
        <w:t>刘林鸽</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马欣灵</w:t>
      </w:r>
    </w:p>
    <w:p w14:paraId="7E69A16F">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工作职责：全面负责推免生工作的组织、领导和实施。</w:t>
      </w:r>
    </w:p>
    <w:p w14:paraId="35630D52">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2. 推免生遴选监督工作小组</w:t>
      </w:r>
    </w:p>
    <w:p w14:paraId="3402CF24">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组  长：宋广林</w:t>
      </w:r>
    </w:p>
    <w:p w14:paraId="6AD17570">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成  员：</w:t>
      </w:r>
      <w:r>
        <w:rPr>
          <w:rFonts w:hint="eastAsia" w:ascii="Times New Roman" w:hAnsi="Times New Roman" w:eastAsia="仿宋" w:cs="Times New Roman"/>
          <w:color w:val="auto"/>
          <w:sz w:val="32"/>
          <w:szCs w:val="32"/>
          <w:highlight w:val="none"/>
          <w:lang w:val="en-US" w:eastAsia="zh-CN"/>
        </w:rPr>
        <w:t>颉登科、王周利、</w:t>
      </w:r>
      <w:r>
        <w:rPr>
          <w:rFonts w:ascii="Times New Roman" w:hAnsi="Times New Roman" w:eastAsia="仿宋" w:cs="Times New Roman"/>
          <w:color w:val="auto"/>
          <w:sz w:val="32"/>
          <w:szCs w:val="32"/>
          <w:highlight w:val="none"/>
          <w:lang w:eastAsia="zh-CN"/>
        </w:rPr>
        <w:t>张国权</w:t>
      </w:r>
      <w:r>
        <w:rPr>
          <w:rFonts w:hint="eastAsia" w:ascii="Times New Roman" w:hAnsi="Times New Roman" w:eastAsia="仿宋" w:cs="Times New Roman"/>
          <w:color w:val="auto"/>
          <w:sz w:val="32"/>
          <w:szCs w:val="32"/>
          <w:highlight w:val="none"/>
          <w:lang w:val="en-US" w:eastAsia="zh-CN"/>
        </w:rPr>
        <w:t>、</w:t>
      </w:r>
      <w:r>
        <w:rPr>
          <w:rFonts w:ascii="Times New Roman" w:hAnsi="Times New Roman" w:eastAsia="仿宋" w:cs="Times New Roman"/>
          <w:color w:val="auto"/>
          <w:sz w:val="32"/>
          <w:szCs w:val="32"/>
          <w:highlight w:val="none"/>
          <w:lang w:eastAsia="zh-CN"/>
        </w:rPr>
        <w:t>童</w:t>
      </w:r>
      <w:r>
        <w:rPr>
          <w:rFonts w:hint="eastAsia" w:ascii="Times New Roman" w:hAnsi="Times New Roman" w:eastAsia="仿宋" w:cs="Times New Roman"/>
          <w:color w:val="auto"/>
          <w:sz w:val="32"/>
          <w:szCs w:val="32"/>
          <w:highlight w:val="none"/>
          <w:lang w:eastAsia="zh-CN"/>
        </w:rPr>
        <w:t xml:space="preserve">  </w:t>
      </w:r>
      <w:r>
        <w:rPr>
          <w:rFonts w:ascii="Times New Roman" w:hAnsi="Times New Roman" w:eastAsia="仿宋" w:cs="Times New Roman"/>
          <w:color w:val="auto"/>
          <w:sz w:val="32"/>
          <w:szCs w:val="32"/>
          <w:highlight w:val="none"/>
          <w:lang w:eastAsia="zh-CN"/>
        </w:rPr>
        <w:t>静</w:t>
      </w:r>
    </w:p>
    <w:p w14:paraId="00932FF8">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工作职责：全面负责督导检查推免工作中有关规定和办法等的落实，受理学院有关申诉及违纪、违规行为的调查处理，确保推免工作的公平、公正、公开。</w:t>
      </w:r>
    </w:p>
    <w:p w14:paraId="3A048F4E">
      <w:pPr>
        <w:spacing w:line="560" w:lineRule="exact"/>
        <w:ind w:firstLine="640" w:firstLineChars="200"/>
        <w:jc w:val="both"/>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3.材料审核专家组</w:t>
      </w:r>
    </w:p>
    <w:p w14:paraId="5F0C5CCB">
      <w:pPr>
        <w:spacing w:line="560" w:lineRule="exact"/>
        <w:ind w:firstLine="640" w:firstLineChars="200"/>
        <w:jc w:val="both"/>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组  长：王云阳</w:t>
      </w:r>
    </w:p>
    <w:p w14:paraId="2D74639F">
      <w:pPr>
        <w:spacing w:line="560" w:lineRule="exact"/>
        <w:ind w:left="1918" w:leftChars="290" w:hanging="1280" w:hangingChars="400"/>
        <w:jc w:val="both"/>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 xml:space="preserve">成  员：王妍入、江  昊、王玉堂、李  梅、王  欣、何财安 </w:t>
      </w:r>
    </w:p>
    <w:p w14:paraId="394E530B">
      <w:pPr>
        <w:spacing w:line="560" w:lineRule="exact"/>
        <w:ind w:firstLine="640" w:firstLineChars="200"/>
        <w:jc w:val="both"/>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工作职责：对学生提交的高水平科研创新成果、竞赛奖项等的真实性、原创性进行审核鉴定。</w:t>
      </w:r>
    </w:p>
    <w:p w14:paraId="29A3EE53">
      <w:pPr>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z w:val="32"/>
          <w:szCs w:val="32"/>
          <w:highlight w:val="none"/>
          <w:lang w:eastAsia="zh-CN"/>
        </w:rPr>
        <w:t>第三章  遴选条件</w:t>
      </w:r>
    </w:p>
    <w:p w14:paraId="10FAA698">
      <w:pPr>
        <w:adjustRightInd w:val="0"/>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bCs/>
          <w:color w:val="auto"/>
          <w:sz w:val="32"/>
          <w:szCs w:val="32"/>
          <w:highlight w:val="none"/>
          <w:lang w:eastAsia="zh-CN"/>
        </w:rPr>
        <w:t xml:space="preserve">第五条  </w:t>
      </w:r>
      <w:r>
        <w:rPr>
          <w:rFonts w:ascii="Times New Roman" w:hAnsi="Times New Roman" w:eastAsia="仿宋" w:cs="Times New Roman"/>
          <w:color w:val="auto"/>
          <w:sz w:val="32"/>
          <w:szCs w:val="32"/>
          <w:highlight w:val="none"/>
          <w:lang w:eastAsia="zh-CN"/>
        </w:rPr>
        <w:t>推免生遴选基本条件如下：</w:t>
      </w:r>
    </w:p>
    <w:p w14:paraId="7AD5DC49">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1.拥护中国共产党的领导和社会主义制度，具有高尚的爱国主义情操和集体主义精神，社会责任感强，遵纪守法，积极向上，身心健康；</w:t>
      </w:r>
    </w:p>
    <w:p w14:paraId="7970D484">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2.诚实守信，学风端正，品行优良，无考试作弊或剽窃他人学术成果等学术不端行为；</w:t>
      </w:r>
    </w:p>
    <w:p w14:paraId="7895B513">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3.获得本科前三学年应修课程全部学分，且课程学分成绩排名在专业年级前50%；</w:t>
      </w:r>
    </w:p>
    <w:p w14:paraId="2250941D">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4.外语成绩：非英语专业学生的全国英语四级考试成绩在425分及以上或外语小语种四级成绩在60分及以上；</w:t>
      </w:r>
    </w:p>
    <w:p w14:paraId="084ED9E8">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5.具有从事科学研究志向，具有较强的创新意识、创新潜质和创新能力，且符合各遴选单位科研潜质考核要求；</w:t>
      </w:r>
    </w:p>
    <w:p w14:paraId="28D3AFCC">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6.本科前三年国家学生体质健康标准测试（体测）合格。</w:t>
      </w:r>
    </w:p>
    <w:p w14:paraId="5C0BFE6C">
      <w:pPr>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z w:val="32"/>
          <w:szCs w:val="32"/>
          <w:highlight w:val="none"/>
          <w:lang w:eastAsia="zh-CN"/>
        </w:rPr>
        <w:t>第四章  指标分配</w:t>
      </w:r>
    </w:p>
    <w:p w14:paraId="532C62DB">
      <w:pPr>
        <w:adjustRightInd w:val="0"/>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bCs/>
          <w:color w:val="auto"/>
          <w:sz w:val="32"/>
          <w:szCs w:val="32"/>
          <w:highlight w:val="none"/>
          <w:lang w:eastAsia="zh-CN"/>
        </w:rPr>
        <w:t xml:space="preserve">第六条  </w:t>
      </w:r>
      <w:r>
        <w:rPr>
          <w:rFonts w:ascii="Times New Roman" w:hAnsi="Times New Roman" w:eastAsia="仿宋" w:cs="Times New Roman"/>
          <w:color w:val="auto"/>
          <w:sz w:val="32"/>
          <w:szCs w:val="32"/>
          <w:highlight w:val="none"/>
          <w:lang w:eastAsia="zh-CN"/>
        </w:rPr>
        <w:t>推荐指标分为专项推荐指标和普通推荐指标。</w:t>
      </w:r>
    </w:p>
    <w:p w14:paraId="68D93B6E">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1.专项推荐指标包括：工程硕博士指标、</w:t>
      </w:r>
      <w:r>
        <w:rPr>
          <w:rFonts w:hint="eastAsia" w:ascii="Times New Roman" w:hAnsi="Times New Roman" w:eastAsia="仿宋" w:cs="Times New Roman"/>
          <w:color w:val="auto"/>
          <w:sz w:val="32"/>
          <w:szCs w:val="32"/>
          <w:highlight w:val="none"/>
          <w:lang w:val="en-US" w:eastAsia="zh-CN"/>
        </w:rPr>
        <w:t>卓越农林人才计划指标（含</w:t>
      </w:r>
      <w:r>
        <w:rPr>
          <w:rFonts w:hint="eastAsia" w:ascii="Times New Roman" w:hAnsi="Times New Roman" w:eastAsia="仿宋_GB2312" w:cs="Times New Roman"/>
          <w:sz w:val="32"/>
          <w:szCs w:val="32"/>
          <w:highlight w:val="none"/>
          <w:lang w:val="en-US" w:eastAsia="zh-CN"/>
        </w:rPr>
        <w:t>“四有”优秀士兵指标</w:t>
      </w:r>
      <w:r>
        <w:rPr>
          <w:rFonts w:hint="eastAsia"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eastAsia="zh-CN"/>
        </w:rPr>
        <w:t>一流学科支持计划指标</w:t>
      </w:r>
      <w:r>
        <w:rPr>
          <w:rFonts w:ascii="Times New Roman" w:hAnsi="Times New Roman" w:eastAsia="仿宋" w:cs="Times New Roman"/>
          <w:color w:val="auto"/>
          <w:sz w:val="32"/>
          <w:szCs w:val="32"/>
          <w:highlight w:val="none"/>
          <w:lang w:eastAsia="zh-CN"/>
        </w:rPr>
        <w:t>、拔尖创新人才计划指标、学术特长生指标、研究生支教团指标、2+3辅导员指标等。</w:t>
      </w:r>
    </w:p>
    <w:p w14:paraId="37F677F5">
      <w:pPr>
        <w:adjustRightInd w:val="0"/>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hint="eastAsia" w:ascii="Times New Roman" w:hAnsi="Times New Roman" w:eastAsia="仿宋" w:cs="Times New Roman"/>
          <w:color w:val="auto"/>
          <w:sz w:val="32"/>
          <w:szCs w:val="32"/>
          <w:highlight w:val="none"/>
          <w:lang w:val="en-US" w:eastAsia="zh-CN"/>
        </w:rPr>
        <w:t>卓越农林人才计划指标、</w:t>
      </w:r>
      <w:r>
        <w:rPr>
          <w:rFonts w:hint="eastAsia" w:ascii="Times New Roman" w:hAnsi="Times New Roman" w:eastAsia="仿宋" w:cs="Times New Roman"/>
          <w:color w:val="auto"/>
          <w:sz w:val="32"/>
          <w:szCs w:val="32"/>
          <w:highlight w:val="none"/>
          <w:lang w:eastAsia="zh-CN"/>
        </w:rPr>
        <w:t>一流学科支持计划指标</w:t>
      </w:r>
      <w:r>
        <w:rPr>
          <w:rFonts w:ascii="Times New Roman" w:hAnsi="Times New Roman" w:eastAsia="仿宋" w:cs="Times New Roman"/>
          <w:color w:val="auto"/>
          <w:sz w:val="32"/>
          <w:szCs w:val="32"/>
          <w:highlight w:val="none"/>
          <w:lang w:eastAsia="zh-CN"/>
        </w:rPr>
        <w:t>以学校分配给学院的指标为基数，按照各专业应届本科毕业生人数占全院毕业生人数比例计算推免生指标。</w:t>
      </w:r>
    </w:p>
    <w:p w14:paraId="4EB25216">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hint="eastAsia" w:ascii="Times New Roman" w:hAnsi="Times New Roman" w:eastAsia="仿宋" w:cs="Times New Roman"/>
          <w:color w:val="auto"/>
          <w:sz w:val="32"/>
          <w:szCs w:val="32"/>
          <w:highlight w:val="none"/>
          <w:lang w:val="en-US" w:eastAsia="zh-CN"/>
        </w:rPr>
        <w:t>卓越农林人才计划指标、</w:t>
      </w:r>
      <w:r>
        <w:rPr>
          <w:rFonts w:hint="eastAsia" w:ascii="Times New Roman" w:hAnsi="Times New Roman" w:eastAsia="仿宋" w:cs="Times New Roman"/>
          <w:color w:val="auto"/>
          <w:sz w:val="32"/>
          <w:szCs w:val="32"/>
          <w:highlight w:val="none"/>
          <w:lang w:eastAsia="zh-CN"/>
        </w:rPr>
        <w:t>一流学科支持计划</w:t>
      </w:r>
      <w:r>
        <w:rPr>
          <w:rFonts w:ascii="Times New Roman" w:hAnsi="Times New Roman" w:eastAsia="仿宋" w:cs="Times New Roman"/>
          <w:color w:val="auto"/>
          <w:sz w:val="32"/>
          <w:szCs w:val="32"/>
          <w:highlight w:val="none"/>
          <w:lang w:eastAsia="zh-CN"/>
        </w:rPr>
        <w:t>各专业推免生指标=[各专业应届本科毕业生人数/学院应届本科毕业生人数（食品科学与工程专业、食品质量与安全专业、</w:t>
      </w:r>
      <w:r>
        <w:rPr>
          <w:rFonts w:hint="eastAsia" w:ascii="Times New Roman" w:hAnsi="Times New Roman" w:eastAsia="仿宋" w:cs="Times New Roman"/>
          <w:color w:val="auto"/>
          <w:sz w:val="32"/>
          <w:szCs w:val="32"/>
          <w:highlight w:val="none"/>
          <w:lang w:val="en-US" w:eastAsia="zh-CN"/>
        </w:rPr>
        <w:t>食品营养与健康（卓越班）专业、</w:t>
      </w:r>
      <w:r>
        <w:rPr>
          <w:rFonts w:ascii="Times New Roman" w:hAnsi="Times New Roman" w:eastAsia="仿宋" w:cs="Times New Roman"/>
          <w:color w:val="auto"/>
          <w:sz w:val="32"/>
          <w:szCs w:val="32"/>
          <w:highlight w:val="none"/>
          <w:lang w:eastAsia="zh-CN"/>
        </w:rPr>
        <w:t>食品科学与工程（中外合作办学）专业人数）]×全院可分配推免生指标。若某专业申请人数少于分配指标数，剩余指标数调整到其他专业。</w:t>
      </w:r>
    </w:p>
    <w:p w14:paraId="70C9DCED">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2.普通推荐指标：除专项以外的指标。</w:t>
      </w:r>
    </w:p>
    <w:p w14:paraId="27B55CA3">
      <w:pPr>
        <w:adjustRightInd w:val="0"/>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普通推荐指标以学校分配给学院的指标为基数，按照各专业应届本科毕业生人数占全院毕业生人数比例计算推免生指标。</w:t>
      </w:r>
    </w:p>
    <w:p w14:paraId="295FD12C">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各专业推免生指标=[各专业应届本科毕业生人数/学院应届本科毕业生人数（食品科学与工程专业、食品质量与安全专业、食品科学与工程（中外合作办学）专业人数）]×全院可分配推免生指标。若某专业申请人数少于分配指标数，剩余指标数调整到其他专业。</w:t>
      </w:r>
    </w:p>
    <w:p w14:paraId="7258FA5F">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食品营养与健康（卓越班）专业学生可申请专项推荐指标，不可申请普通推荐指标。</w:t>
      </w:r>
    </w:p>
    <w:p w14:paraId="408BA1B8">
      <w:pPr>
        <w:adjustRightInd w:val="0"/>
        <w:spacing w:line="560" w:lineRule="exact"/>
        <w:ind w:firstLine="643" w:firstLineChars="200"/>
        <w:jc w:val="both"/>
        <w:rPr>
          <w:rFonts w:hint="eastAsia" w:ascii="Times New Roman" w:hAnsi="Times New Roman" w:eastAsia="仿宋" w:cs="Times New Roman"/>
          <w:color w:val="auto"/>
          <w:sz w:val="32"/>
          <w:szCs w:val="32"/>
          <w:highlight w:val="none"/>
          <w:lang w:val="en-US" w:eastAsia="zh-CN"/>
        </w:rPr>
      </w:pPr>
      <w:r>
        <w:rPr>
          <w:rFonts w:ascii="Times New Roman" w:hAnsi="Times New Roman" w:eastAsia="仿宋" w:cs="Times New Roman"/>
          <w:b/>
          <w:bCs/>
          <w:color w:val="auto"/>
          <w:sz w:val="32"/>
          <w:szCs w:val="32"/>
          <w:highlight w:val="none"/>
          <w:lang w:eastAsia="zh-CN"/>
        </w:rPr>
        <w:t xml:space="preserve">第七条  </w:t>
      </w:r>
      <w:r>
        <w:rPr>
          <w:rFonts w:hint="eastAsia" w:ascii="Times New Roman" w:hAnsi="Times New Roman" w:eastAsia="仿宋" w:cs="Times New Roman"/>
          <w:color w:val="auto"/>
          <w:sz w:val="32"/>
          <w:szCs w:val="32"/>
          <w:highlight w:val="none"/>
          <w:lang w:val="en-US" w:eastAsia="zh-CN"/>
        </w:rPr>
        <w:t>推免指标由学校核拨，学院按照学校当年核拨给我院的专项推荐指标、普通推荐指标数分别组织实施。</w:t>
      </w:r>
    </w:p>
    <w:p w14:paraId="03701677">
      <w:pPr>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z w:val="32"/>
          <w:szCs w:val="32"/>
          <w:highlight w:val="none"/>
          <w:lang w:eastAsia="zh-CN"/>
        </w:rPr>
        <w:t>第五章  遴选办法</w:t>
      </w:r>
    </w:p>
    <w:p w14:paraId="7E1A8C3F">
      <w:pPr>
        <w:adjustRightInd w:val="0"/>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bCs/>
          <w:color w:val="auto"/>
          <w:sz w:val="32"/>
          <w:szCs w:val="32"/>
          <w:highlight w:val="none"/>
          <w:lang w:eastAsia="zh-CN"/>
        </w:rPr>
        <w:t xml:space="preserve">第八条  </w:t>
      </w:r>
      <w:r>
        <w:rPr>
          <w:rFonts w:ascii="Times New Roman" w:hAnsi="Times New Roman" w:eastAsia="仿宋" w:cs="Times New Roman"/>
          <w:color w:val="auto"/>
          <w:sz w:val="32"/>
          <w:szCs w:val="32"/>
          <w:highlight w:val="none"/>
          <w:lang w:eastAsia="zh-CN"/>
        </w:rPr>
        <w:t>申请专项推荐指标类的学生，拔尖创新人才计划按照《西北农林科技大学创新实验学院学生分流考核实施办法》（校教发〔2022〕118号）、</w:t>
      </w:r>
      <w:r>
        <w:rPr>
          <w:rFonts w:hint="eastAsia" w:ascii="Times New Roman" w:hAnsi="Times New Roman" w:eastAsia="仿宋" w:cs="Times New Roman"/>
          <w:color w:val="auto"/>
          <w:sz w:val="32"/>
          <w:szCs w:val="32"/>
          <w:highlight w:val="none"/>
          <w:lang w:val="en-US" w:eastAsia="zh-CN"/>
        </w:rPr>
        <w:t>学术</w:t>
      </w:r>
      <w:r>
        <w:rPr>
          <w:rFonts w:ascii="Times New Roman" w:hAnsi="Times New Roman" w:eastAsia="仿宋" w:cs="Times New Roman"/>
          <w:color w:val="auto"/>
          <w:sz w:val="32"/>
          <w:szCs w:val="32"/>
          <w:highlight w:val="none"/>
          <w:lang w:eastAsia="zh-CN"/>
        </w:rPr>
        <w:t>特长生按照《西北农林科技大学学术特长生免试攻读研究生推荐办法》(教务〔2021〕10号)、研究生支教团按照</w:t>
      </w:r>
      <w:r>
        <w:rPr>
          <w:rFonts w:hint="eastAsia" w:ascii="Times New Roman" w:hAnsi="Times New Roman" w:eastAsia="仿宋" w:cs="Times New Roman"/>
          <w:color w:val="auto"/>
          <w:sz w:val="32"/>
          <w:szCs w:val="32"/>
          <w:highlight w:val="none"/>
          <w:lang w:eastAsia="zh-CN"/>
        </w:rPr>
        <w:t>团委</w:t>
      </w:r>
      <w:r>
        <w:rPr>
          <w:rFonts w:ascii="Times New Roman" w:hAnsi="Times New Roman" w:eastAsia="仿宋" w:cs="Times New Roman"/>
          <w:color w:val="auto"/>
          <w:sz w:val="32"/>
          <w:szCs w:val="32"/>
          <w:highlight w:val="none"/>
          <w:lang w:eastAsia="zh-CN"/>
        </w:rPr>
        <w:t>相关文件中相应遴选条件规定、“2+3辅导员”按照</w:t>
      </w:r>
      <w:r>
        <w:rPr>
          <w:rFonts w:hint="eastAsia" w:ascii="Times New Roman" w:hAnsi="Times New Roman" w:eastAsia="仿宋" w:cs="Times New Roman"/>
          <w:color w:val="auto"/>
          <w:sz w:val="32"/>
          <w:szCs w:val="32"/>
          <w:highlight w:val="none"/>
          <w:lang w:eastAsia="zh-CN"/>
        </w:rPr>
        <w:t>党委学工部</w:t>
      </w:r>
      <w:r>
        <w:rPr>
          <w:rFonts w:ascii="Times New Roman" w:hAnsi="Times New Roman" w:eastAsia="仿宋" w:cs="Times New Roman"/>
          <w:color w:val="auto"/>
          <w:sz w:val="32"/>
          <w:szCs w:val="32"/>
          <w:highlight w:val="none"/>
          <w:lang w:eastAsia="zh-CN"/>
        </w:rPr>
        <w:t>相关文件中相应遴选条件规定自愿申请相应推免生类型。</w:t>
      </w:r>
    </w:p>
    <w:p w14:paraId="5B8355DB">
      <w:pPr>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bCs/>
          <w:color w:val="auto"/>
          <w:sz w:val="32"/>
          <w:szCs w:val="32"/>
          <w:highlight w:val="none"/>
          <w:lang w:eastAsia="zh-CN"/>
        </w:rPr>
        <w:t xml:space="preserve">第九条  </w:t>
      </w:r>
      <w:r>
        <w:rPr>
          <w:rFonts w:ascii="Times New Roman" w:hAnsi="Times New Roman" w:eastAsia="仿宋" w:cs="Times New Roman"/>
          <w:color w:val="auto"/>
          <w:sz w:val="32"/>
          <w:szCs w:val="32"/>
          <w:highlight w:val="none"/>
          <w:lang w:eastAsia="zh-CN"/>
        </w:rPr>
        <w:t>申请普通推荐指标、</w:t>
      </w:r>
      <w:r>
        <w:rPr>
          <w:rFonts w:ascii="Times New Roman" w:hAnsi="Times New Roman" w:eastAsia="仿宋" w:cs="Times New Roman"/>
          <w:color w:val="auto"/>
          <w:kern w:val="52"/>
          <w:sz w:val="32"/>
          <w:szCs w:val="32"/>
          <w:highlight w:val="none"/>
          <w:lang w:eastAsia="zh-CN"/>
        </w:rPr>
        <w:t>工程硕博士专项指标、</w:t>
      </w:r>
      <w:r>
        <w:rPr>
          <w:rFonts w:hint="eastAsia" w:ascii="Times New Roman" w:hAnsi="Times New Roman" w:eastAsia="仿宋" w:cs="Times New Roman"/>
          <w:color w:val="auto"/>
          <w:sz w:val="32"/>
          <w:szCs w:val="32"/>
          <w:highlight w:val="none"/>
          <w:lang w:val="en-US" w:eastAsia="zh-CN"/>
        </w:rPr>
        <w:t>卓越农林人才计划指标</w:t>
      </w:r>
      <w:r>
        <w:rPr>
          <w:rFonts w:ascii="Times New Roman" w:hAnsi="Times New Roman" w:eastAsia="仿宋" w:cs="Times New Roman"/>
          <w:color w:val="auto"/>
          <w:kern w:val="52"/>
          <w:sz w:val="32"/>
          <w:szCs w:val="32"/>
          <w:highlight w:val="none"/>
          <w:lang w:eastAsia="zh-CN"/>
        </w:rPr>
        <w:t>、</w:t>
      </w:r>
      <w:r>
        <w:rPr>
          <w:rFonts w:hint="eastAsia" w:ascii="Times New Roman" w:hAnsi="Times New Roman" w:eastAsia="仿宋" w:cs="Times New Roman"/>
          <w:color w:val="auto"/>
          <w:sz w:val="32"/>
          <w:szCs w:val="32"/>
          <w:highlight w:val="none"/>
          <w:lang w:eastAsia="zh-CN"/>
        </w:rPr>
        <w:t>一流学科支持计划指标</w:t>
      </w:r>
      <w:r>
        <w:rPr>
          <w:rFonts w:ascii="Times New Roman" w:hAnsi="Times New Roman" w:eastAsia="仿宋" w:cs="Times New Roman"/>
          <w:color w:val="auto"/>
          <w:sz w:val="32"/>
          <w:szCs w:val="32"/>
          <w:highlight w:val="none"/>
          <w:lang w:eastAsia="zh-CN"/>
        </w:rPr>
        <w:t>资格的学生，将从思想政治品德、学业成绩、科研潜质三个方面进行综合考查，考查总成绩满分为100分，其中思想政治品德考查成绩占总成绩的10%、学业成绩占</w:t>
      </w:r>
      <w:bookmarkStart w:id="1" w:name="_GoBack"/>
      <w:bookmarkEnd w:id="1"/>
      <w:r>
        <w:rPr>
          <w:rFonts w:ascii="Times New Roman" w:hAnsi="Times New Roman" w:eastAsia="仿宋" w:cs="Times New Roman"/>
          <w:color w:val="auto"/>
          <w:sz w:val="32"/>
          <w:szCs w:val="32"/>
          <w:highlight w:val="none"/>
          <w:lang w:eastAsia="zh-CN"/>
        </w:rPr>
        <w:t>总成绩的40%、科研潜质考查成绩占总成绩的50%。具体考查办法如下：</w:t>
      </w:r>
    </w:p>
    <w:p w14:paraId="58818DE5">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总成绩的计算公式如下：</w:t>
      </w:r>
    </w:p>
    <w:p w14:paraId="7D2D7423">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Z=0.1A+0.4B+0.5C</w:t>
      </w:r>
    </w:p>
    <w:p w14:paraId="53CD5CC6">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sz w:val="32"/>
          <w:szCs w:val="32"/>
          <w:highlight w:val="none"/>
          <w:lang w:eastAsia="zh-CN"/>
        </w:rPr>
        <w:t>公式中：</w:t>
      </w:r>
    </w:p>
    <w:p w14:paraId="086CEDBA">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Z:总成绩。</w:t>
      </w:r>
    </w:p>
    <w:p w14:paraId="55E8AB39">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kern w:val="52"/>
          <w:sz w:val="32"/>
          <w:szCs w:val="32"/>
          <w:highlight w:val="none"/>
          <w:lang w:eastAsia="zh-CN"/>
        </w:rPr>
        <w:t>A:</w:t>
      </w:r>
      <w:r>
        <w:rPr>
          <w:rFonts w:ascii="Times New Roman" w:hAnsi="Times New Roman" w:eastAsia="仿宋" w:cs="Times New Roman"/>
          <w:color w:val="auto"/>
          <w:sz w:val="32"/>
          <w:szCs w:val="32"/>
          <w:highlight w:val="none"/>
          <w:lang w:eastAsia="zh-CN"/>
        </w:rPr>
        <w:t>思想政治品德考查成绩，满分为100分。</w:t>
      </w:r>
    </w:p>
    <w:p w14:paraId="59FD7B74">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B:学业成绩，满分为100分，学业成绩按照本科前三学年应修课程全部课程学分成绩直接统计。</w:t>
      </w:r>
    </w:p>
    <w:p w14:paraId="6C75F17F">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C:科研潜质考查成绩，满分为100分，包括外语成绩、创新能力、参军入伍服兵役、参加志愿服务、参加国际组织实习、科研认知六个方面，其中外语成绩占20%、创新能力占10%、参军入伍服兵役占4%、参加志愿服务占2%、参加国际组织实习占4%、科研认知占60%。具体如下：</w:t>
      </w:r>
    </w:p>
    <w:p w14:paraId="03BE859C">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1.外语成绩</w:t>
      </w:r>
    </w:p>
    <w:p w14:paraId="3F185783">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外语成绩依据四六级成绩按如下方式进行计算，占科研潜质考查成绩的20%，满分20分。</w:t>
      </w:r>
    </w:p>
    <w:p w14:paraId="23E20C04">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四级折合成绩=四级分数÷710×20×0.7</w:t>
      </w:r>
    </w:p>
    <w:p w14:paraId="31F3BD9C">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六级折合成绩=六级分数÷710×20</w:t>
      </w:r>
    </w:p>
    <w:p w14:paraId="6EBDE070">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2.创新能力</w:t>
      </w:r>
    </w:p>
    <w:p w14:paraId="05580F91">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包括创新创业项目、科研成果和学科竞赛获奖，占科研潜质考查成绩的10%。相同项目按最高分统计，满分10分。（具体计算办法参见附件1）。</w:t>
      </w:r>
    </w:p>
    <w:p w14:paraId="1E59F04A">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3.参军入伍服兵役</w:t>
      </w:r>
    </w:p>
    <w:p w14:paraId="7B640CB6">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学生参军入伍服兵役占科研潜质考查成绩的4%，满分4分。</w:t>
      </w:r>
    </w:p>
    <w:p w14:paraId="4848AD69">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4.参加志愿服务</w:t>
      </w:r>
    </w:p>
    <w:p w14:paraId="27316266">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学生参加校级及校级以上志愿服务活动占科研潜质考查成绩的2%，0.5分/次，满分2分。</w:t>
      </w:r>
    </w:p>
    <w:p w14:paraId="2C98A0F2">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5.参加国际组织实习</w:t>
      </w:r>
    </w:p>
    <w:p w14:paraId="76633F19">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学生参加国际组织实习占科研潜质考查成绩的4%，2分/次，满分4分。</w:t>
      </w:r>
    </w:p>
    <w:p w14:paraId="5878A475">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6.科研认知</w:t>
      </w:r>
    </w:p>
    <w:p w14:paraId="2749F871">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申请推免的学生需提交一份科研认知报告（400字左右，重点就食品领域相关课题阐述自己的理解或未来研究生阶段科研工作的思路，占科研潜质考查成绩的10%，满分10分）。</w:t>
      </w:r>
    </w:p>
    <w:p w14:paraId="5BCCDC05">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学院对</w:t>
      </w:r>
      <w:r>
        <w:rPr>
          <w:rFonts w:ascii="Times New Roman" w:hAnsi="Times New Roman" w:eastAsia="仿宋" w:cs="Times New Roman"/>
          <w:color w:val="auto"/>
          <w:sz w:val="32"/>
          <w:szCs w:val="32"/>
          <w:highlight w:val="none"/>
          <w:lang w:eastAsia="zh-CN"/>
        </w:rPr>
        <w:t>普通推荐指标、</w:t>
      </w:r>
      <w:r>
        <w:rPr>
          <w:rFonts w:hint="eastAsia" w:ascii="Times New Roman" w:hAnsi="Times New Roman" w:eastAsia="仿宋" w:cs="Times New Roman"/>
          <w:color w:val="auto"/>
          <w:sz w:val="32"/>
          <w:szCs w:val="32"/>
          <w:highlight w:val="none"/>
          <w:lang w:val="en-US" w:eastAsia="zh-CN"/>
        </w:rPr>
        <w:t>卓越农林人才计划指标</w:t>
      </w:r>
      <w:r>
        <w:rPr>
          <w:rFonts w:ascii="Times New Roman" w:hAnsi="Times New Roman" w:eastAsia="仿宋" w:cs="Times New Roman"/>
          <w:color w:val="auto"/>
          <w:kern w:val="52"/>
          <w:sz w:val="32"/>
          <w:szCs w:val="32"/>
          <w:highlight w:val="none"/>
          <w:lang w:eastAsia="zh-CN"/>
        </w:rPr>
        <w:t>、工程硕博士专项指标、</w:t>
      </w:r>
      <w:r>
        <w:rPr>
          <w:rFonts w:hint="eastAsia" w:ascii="Times New Roman" w:hAnsi="Times New Roman" w:eastAsia="仿宋" w:cs="Times New Roman"/>
          <w:color w:val="auto"/>
          <w:sz w:val="32"/>
          <w:szCs w:val="32"/>
          <w:highlight w:val="none"/>
          <w:lang w:eastAsia="zh-CN"/>
        </w:rPr>
        <w:t>一流学科支持计划指标</w:t>
      </w:r>
      <w:r>
        <w:rPr>
          <w:rFonts w:ascii="Times New Roman" w:hAnsi="Times New Roman" w:eastAsia="仿宋" w:cs="Times New Roman"/>
          <w:color w:val="auto"/>
          <w:sz w:val="32"/>
          <w:szCs w:val="32"/>
          <w:highlight w:val="none"/>
          <w:lang w:eastAsia="zh-CN"/>
        </w:rPr>
        <w:t>、学术特长生指标推荐工作</w:t>
      </w:r>
      <w:r>
        <w:rPr>
          <w:rFonts w:ascii="Times New Roman" w:hAnsi="Times New Roman" w:eastAsia="仿宋" w:cs="Times New Roman"/>
          <w:color w:val="auto"/>
          <w:kern w:val="52"/>
          <w:sz w:val="32"/>
          <w:szCs w:val="32"/>
          <w:highlight w:val="none"/>
          <w:lang w:eastAsia="zh-CN"/>
        </w:rPr>
        <w:t>组成推免生科研潜质考查专家组（专家组成员原则上应具有相关学科副教授以上职称，一般不少于5人），统一组织科研认知考查,占科研潜质考查成绩的50%，满分50分。</w:t>
      </w:r>
    </w:p>
    <w:p w14:paraId="5D2184E8">
      <w:pPr>
        <w:adjustRightInd w:val="0"/>
        <w:spacing w:line="560" w:lineRule="exact"/>
        <w:ind w:firstLine="643" w:firstLineChars="200"/>
        <w:jc w:val="both"/>
        <w:rPr>
          <w:rFonts w:ascii="Times New Roman" w:hAnsi="Times New Roman" w:eastAsia="仿宋" w:cs="Times New Roman"/>
          <w:bCs/>
          <w:color w:val="auto"/>
          <w:sz w:val="32"/>
          <w:szCs w:val="32"/>
          <w:highlight w:val="none"/>
          <w:lang w:eastAsia="zh-CN"/>
        </w:rPr>
      </w:pPr>
      <w:r>
        <w:rPr>
          <w:rFonts w:ascii="Times New Roman" w:hAnsi="Times New Roman" w:eastAsia="仿宋" w:cs="Times New Roman"/>
          <w:b/>
          <w:color w:val="auto"/>
          <w:sz w:val="32"/>
          <w:szCs w:val="32"/>
          <w:highlight w:val="none"/>
          <w:lang w:eastAsia="zh-CN"/>
        </w:rPr>
        <w:t xml:space="preserve">第十条 </w:t>
      </w:r>
      <w:r>
        <w:rPr>
          <w:rFonts w:ascii="Times New Roman" w:hAnsi="Times New Roman" w:eastAsia="仿宋" w:cs="Times New Roman"/>
          <w:bCs/>
          <w:color w:val="auto"/>
          <w:sz w:val="32"/>
          <w:szCs w:val="32"/>
          <w:highlight w:val="none"/>
          <w:lang w:eastAsia="zh-CN"/>
        </w:rPr>
        <w:t xml:space="preserve"> 遴选原则</w:t>
      </w:r>
    </w:p>
    <w:p w14:paraId="69F490FE">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kern w:val="52"/>
          <w:sz w:val="32"/>
          <w:szCs w:val="32"/>
          <w:highlight w:val="none"/>
          <w:lang w:eastAsia="zh-CN"/>
        </w:rPr>
        <w:t>学院根据各项目推免指标，按照已有成绩由高到低排名，公布排名并以1:2的比</w:t>
      </w:r>
      <w:r>
        <w:rPr>
          <w:rFonts w:ascii="Times New Roman" w:hAnsi="Times New Roman" w:eastAsia="仿宋" w:cs="Times New Roman"/>
          <w:color w:val="auto"/>
          <w:sz w:val="32"/>
          <w:szCs w:val="32"/>
          <w:highlight w:val="none"/>
          <w:lang w:eastAsia="zh-CN"/>
        </w:rPr>
        <w:t>例确定进入科研潜质考查学生名单。</w:t>
      </w:r>
    </w:p>
    <w:p w14:paraId="666B62DF">
      <w:pPr>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z w:val="32"/>
          <w:szCs w:val="32"/>
          <w:highlight w:val="none"/>
          <w:lang w:eastAsia="zh-CN"/>
        </w:rPr>
        <w:t>第六章  组织实施</w:t>
      </w:r>
    </w:p>
    <w:p w14:paraId="40BCF5DB">
      <w:pPr>
        <w:adjustRightInd w:val="0"/>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bCs/>
          <w:color w:val="auto"/>
          <w:sz w:val="32"/>
          <w:szCs w:val="32"/>
          <w:highlight w:val="none"/>
          <w:lang w:eastAsia="zh-CN"/>
        </w:rPr>
        <w:t xml:space="preserve">第十一条  </w:t>
      </w:r>
      <w:r>
        <w:rPr>
          <w:rFonts w:ascii="Times New Roman" w:hAnsi="Times New Roman" w:eastAsia="仿宋" w:cs="Times New Roman"/>
          <w:color w:val="auto"/>
          <w:sz w:val="32"/>
          <w:szCs w:val="32"/>
          <w:highlight w:val="none"/>
          <w:lang w:eastAsia="zh-CN"/>
        </w:rPr>
        <w:t>工作程序</w:t>
      </w:r>
    </w:p>
    <w:p w14:paraId="2C309B2A">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1.学院公布符合第五条2、3、4</w:t>
      </w:r>
      <w:r>
        <w:rPr>
          <w:rFonts w:hint="eastAsia" w:ascii="Times New Roman" w:hAnsi="Times New Roman" w:eastAsia="仿宋" w:cs="Times New Roman"/>
          <w:color w:val="auto"/>
          <w:kern w:val="52"/>
          <w:sz w:val="32"/>
          <w:szCs w:val="32"/>
          <w:highlight w:val="none"/>
          <w:lang w:eastAsia="zh-CN"/>
        </w:rPr>
        <w:t>、6</w:t>
      </w:r>
      <w:r>
        <w:rPr>
          <w:rFonts w:ascii="Times New Roman" w:hAnsi="Times New Roman" w:eastAsia="仿宋" w:cs="Times New Roman"/>
          <w:color w:val="auto"/>
          <w:kern w:val="52"/>
          <w:sz w:val="32"/>
          <w:szCs w:val="32"/>
          <w:highlight w:val="none"/>
          <w:lang w:eastAsia="zh-CN"/>
        </w:rPr>
        <w:t>项条件学生名单后，入选学生应在规定时间内向学院提出申请</w:t>
      </w:r>
      <w:r>
        <w:rPr>
          <w:rFonts w:hint="eastAsia" w:ascii="Times New Roman" w:hAnsi="Times New Roman" w:eastAsia="仿宋" w:cs="Times New Roman"/>
          <w:color w:val="auto"/>
          <w:kern w:val="52"/>
          <w:sz w:val="32"/>
          <w:szCs w:val="32"/>
          <w:highlight w:val="none"/>
          <w:lang w:eastAsia="zh-CN"/>
        </w:rPr>
        <w:t>，</w:t>
      </w:r>
      <w:r>
        <w:rPr>
          <w:rFonts w:ascii="Times New Roman" w:hAnsi="Times New Roman" w:eastAsia="仿宋" w:cs="Times New Roman"/>
          <w:color w:val="auto"/>
          <w:kern w:val="52"/>
          <w:sz w:val="32"/>
          <w:szCs w:val="32"/>
          <w:highlight w:val="none"/>
          <w:lang w:eastAsia="zh-CN"/>
        </w:rPr>
        <w:t>包括申请表、推荐信、科研认知报告、获奖证书原件及复印件各1份、论文专利原件及复印件或论文网络发表证明各1份、学科竞赛获奖证书原件及复印件各1份等有关证明材料</w:t>
      </w:r>
      <w:r>
        <w:rPr>
          <w:rFonts w:hint="eastAsia" w:ascii="Times New Roman" w:hAnsi="Times New Roman" w:eastAsia="仿宋" w:cs="Times New Roman"/>
          <w:color w:val="auto"/>
          <w:kern w:val="52"/>
          <w:sz w:val="32"/>
          <w:szCs w:val="32"/>
          <w:highlight w:val="none"/>
          <w:lang w:eastAsia="zh-CN"/>
        </w:rPr>
        <w:t>，</w:t>
      </w:r>
      <w:r>
        <w:rPr>
          <w:rFonts w:hint="eastAsia" w:ascii="Times New Roman" w:hAnsi="Times New Roman" w:eastAsia="仿宋" w:cs="Times New Roman"/>
          <w:color w:val="auto"/>
          <w:kern w:val="52"/>
          <w:sz w:val="32"/>
          <w:szCs w:val="32"/>
          <w:highlight w:val="none"/>
          <w:lang w:val="en-US" w:eastAsia="zh-CN"/>
        </w:rPr>
        <w:t>其中，有联合参赛、与指导教师联合发表论文等情况的学生，必须出具指导教师本人撰写并署名的推荐信，客观陈述学生在成果中的实际贡献</w:t>
      </w:r>
      <w:r>
        <w:rPr>
          <w:rFonts w:ascii="Times New Roman" w:hAnsi="Times New Roman" w:eastAsia="仿宋" w:cs="Times New Roman"/>
          <w:color w:val="auto"/>
          <w:kern w:val="52"/>
          <w:sz w:val="32"/>
          <w:szCs w:val="32"/>
          <w:highlight w:val="none"/>
          <w:lang w:eastAsia="zh-CN"/>
        </w:rPr>
        <w:t>；</w:t>
      </w:r>
    </w:p>
    <w:p w14:paraId="5FBD7478">
      <w:pPr>
        <w:spacing w:line="560" w:lineRule="exact"/>
        <w:ind w:firstLine="640"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color w:val="auto"/>
          <w:kern w:val="52"/>
          <w:sz w:val="32"/>
          <w:szCs w:val="32"/>
          <w:highlight w:val="none"/>
          <w:lang w:eastAsia="zh-CN"/>
        </w:rPr>
        <w:t>2.学院对申请学生进行综合考查，依据综合考查总成绩排名和推荐指标，确定推免生名单，公示3</w:t>
      </w:r>
      <w:r>
        <w:rPr>
          <w:rFonts w:ascii="Times New Roman" w:hAnsi="Times New Roman" w:eastAsia="仿宋" w:cs="Times New Roman"/>
          <w:color w:val="auto"/>
          <w:sz w:val="32"/>
          <w:szCs w:val="32"/>
          <w:highlight w:val="none"/>
          <w:lang w:eastAsia="zh-CN"/>
        </w:rPr>
        <w:t>日且无异议后，报送研究生院招生处。</w:t>
      </w:r>
    </w:p>
    <w:p w14:paraId="022A141D">
      <w:pPr>
        <w:spacing w:line="560" w:lineRule="exact"/>
        <w:ind w:firstLine="643"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b/>
          <w:color w:val="auto"/>
          <w:sz w:val="32"/>
          <w:szCs w:val="32"/>
          <w:highlight w:val="none"/>
          <w:lang w:eastAsia="zh-CN"/>
        </w:rPr>
        <w:t xml:space="preserve">第十二条  </w:t>
      </w:r>
      <w:r>
        <w:rPr>
          <w:rFonts w:ascii="Times New Roman" w:hAnsi="Times New Roman" w:eastAsia="仿宋" w:cs="Times New Roman"/>
          <w:color w:val="auto"/>
          <w:kern w:val="52"/>
          <w:sz w:val="32"/>
          <w:szCs w:val="32"/>
          <w:highlight w:val="none"/>
          <w:lang w:eastAsia="zh-CN"/>
        </w:rPr>
        <w:t>申请推免的学生，如对遴选结果有异议，在公示期内，可向学院推免生遴选监督工作小组或学校推免生遴选监督工作组提出复议申请，具体程序如下：</w:t>
      </w:r>
    </w:p>
    <w:p w14:paraId="23523AF5">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1.申请复议的学生应填写《西北农林科技大学推荐免试攻读研究生复议申请表》（一式三份，下面简称“复议申请表”），提交至学院推免生遴选监督工作小组或学校推免生遴选监督工作组；</w:t>
      </w:r>
    </w:p>
    <w:p w14:paraId="24AC991B">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2.按照学校规定和学院实施细则，学院推免生遴选监督工作小组或学校推免生遴选监督工作组审核申请复议学生所反映情况是否属实，情况属实的进入复议程序；</w:t>
      </w:r>
    </w:p>
    <w:p w14:paraId="0C7A71F6">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3.学院推免生遴选监督工作小组在本职责范围内按照学院推免工作监督管理实施细则，审核学生复议申请，开展复议督查。学院推免生遴选监督工作小组对超出监督复查范围或职责的复议申请，及时提交学校推免生遴选监督工作组；学校推免生遴选监督工作组组织复议专家组，全面复查相关工作环节，形成复议结论，并告知学院和申请复议的学生；</w:t>
      </w:r>
    </w:p>
    <w:p w14:paraId="507292FA">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4.学院推免生遴选监督工作小组根据复议结论，按程序予以落实，并将结果报送研究生院审核、备案。</w:t>
      </w:r>
    </w:p>
    <w:p w14:paraId="567D6BE4">
      <w:pPr>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z w:val="32"/>
          <w:szCs w:val="32"/>
          <w:highlight w:val="none"/>
          <w:lang w:eastAsia="zh-CN"/>
        </w:rPr>
        <w:t>第七章  其它事项</w:t>
      </w:r>
    </w:p>
    <w:p w14:paraId="24A0F953">
      <w:pPr>
        <w:spacing w:line="560" w:lineRule="exact"/>
        <w:ind w:firstLine="643"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b/>
          <w:color w:val="auto"/>
          <w:sz w:val="32"/>
          <w:szCs w:val="32"/>
          <w:highlight w:val="none"/>
          <w:lang w:eastAsia="zh-CN"/>
        </w:rPr>
        <w:t>第十三条</w:t>
      </w:r>
      <w:r>
        <w:rPr>
          <w:rFonts w:ascii="Times New Roman" w:hAnsi="Times New Roman" w:eastAsia="仿宋" w:cs="Times New Roman"/>
          <w:color w:val="auto"/>
          <w:sz w:val="32"/>
          <w:szCs w:val="32"/>
          <w:highlight w:val="none"/>
          <w:lang w:eastAsia="zh-CN"/>
        </w:rPr>
        <w:t xml:space="preserve">  </w:t>
      </w:r>
      <w:r>
        <w:rPr>
          <w:rFonts w:ascii="Times New Roman" w:hAnsi="Times New Roman" w:eastAsia="仿宋" w:cs="Times New Roman"/>
          <w:color w:val="auto"/>
          <w:kern w:val="52"/>
          <w:sz w:val="32"/>
          <w:szCs w:val="32"/>
          <w:highlight w:val="none"/>
          <w:lang w:eastAsia="zh-CN"/>
        </w:rPr>
        <w:t>申请“研究生支教团”的推免生由校团委负责推免生的遴选推荐工作；申请“2+3辅导员”的推免生由党委学生工作部负责推免生的遴选推荐工作。</w:t>
      </w:r>
    </w:p>
    <w:p w14:paraId="4E89A36B">
      <w:pPr>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color w:val="auto"/>
          <w:sz w:val="32"/>
          <w:szCs w:val="32"/>
          <w:highlight w:val="none"/>
          <w:lang w:eastAsia="zh-CN"/>
        </w:rPr>
        <w:t xml:space="preserve">第十四条  </w:t>
      </w:r>
      <w:r>
        <w:rPr>
          <w:rFonts w:ascii="Times New Roman" w:hAnsi="Times New Roman" w:eastAsia="仿宋" w:cs="Times New Roman"/>
          <w:color w:val="auto"/>
          <w:kern w:val="52"/>
          <w:sz w:val="32"/>
          <w:szCs w:val="32"/>
          <w:highlight w:val="none"/>
          <w:lang w:eastAsia="zh-CN"/>
        </w:rPr>
        <w:t>选择攻读西北农林科技大学研究生的推免生须填写推荐免试攻读研究生承诺书，提交学院教学办公室。</w:t>
      </w:r>
    </w:p>
    <w:p w14:paraId="114F178A">
      <w:pPr>
        <w:spacing w:line="560" w:lineRule="exact"/>
        <w:ind w:firstLine="643" w:firstLineChars="200"/>
        <w:jc w:val="both"/>
        <w:rPr>
          <w:rFonts w:ascii="Times New Roman" w:hAnsi="Times New Roman" w:eastAsia="仿宋" w:cs="Times New Roman"/>
          <w:color w:val="auto"/>
          <w:sz w:val="32"/>
          <w:szCs w:val="32"/>
          <w:highlight w:val="none"/>
          <w:lang w:eastAsia="zh-CN"/>
        </w:rPr>
      </w:pPr>
      <w:r>
        <w:rPr>
          <w:rFonts w:ascii="Times New Roman" w:hAnsi="Times New Roman" w:eastAsia="仿宋" w:cs="Times New Roman"/>
          <w:b/>
          <w:color w:val="auto"/>
          <w:sz w:val="32"/>
          <w:szCs w:val="32"/>
          <w:highlight w:val="none"/>
          <w:lang w:eastAsia="zh-CN"/>
        </w:rPr>
        <w:t xml:space="preserve">第十五条  </w:t>
      </w:r>
      <w:r>
        <w:rPr>
          <w:rFonts w:ascii="Times New Roman" w:hAnsi="Times New Roman" w:eastAsia="仿宋" w:cs="Times New Roman"/>
          <w:color w:val="auto"/>
          <w:sz w:val="32"/>
          <w:szCs w:val="32"/>
          <w:highlight w:val="none"/>
          <w:lang w:eastAsia="zh-CN"/>
        </w:rPr>
        <w:t>推免生出现下列情况之一，按有关规定处理，并取消其推免资格或入学资格：</w:t>
      </w:r>
    </w:p>
    <w:p w14:paraId="2246D08B">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1.弄虚作假、缺乏诚信者；</w:t>
      </w:r>
    </w:p>
    <w:p w14:paraId="11BB1BF2">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2.思想政治品德考核不合格或考核成绩小于60分者；</w:t>
      </w:r>
    </w:p>
    <w:p w14:paraId="522BD646">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3.受学校纪律处分，在处分期内者；</w:t>
      </w:r>
    </w:p>
    <w:p w14:paraId="76C82094">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4.在规定学习年限内不能按期毕业取得学士学位者。</w:t>
      </w:r>
    </w:p>
    <w:p w14:paraId="7696D635">
      <w:pPr>
        <w:spacing w:before="120" w:beforeLines="50" w:after="120" w:afterLines="50" w:line="560" w:lineRule="exact"/>
        <w:jc w:val="center"/>
        <w:rPr>
          <w:rFonts w:ascii="Times New Roman" w:hAnsi="Times New Roman" w:eastAsia="黑体" w:cs="Times New Roman"/>
          <w:bCs/>
          <w:color w:val="auto"/>
          <w:sz w:val="32"/>
          <w:szCs w:val="32"/>
          <w:highlight w:val="none"/>
          <w:lang w:eastAsia="zh-CN"/>
        </w:rPr>
      </w:pPr>
      <w:r>
        <w:rPr>
          <w:rFonts w:ascii="Times New Roman" w:hAnsi="Times New Roman" w:eastAsia="黑体" w:cs="Times New Roman"/>
          <w:bCs/>
          <w:color w:val="auto"/>
          <w:sz w:val="32"/>
          <w:szCs w:val="32"/>
          <w:highlight w:val="none"/>
          <w:lang w:eastAsia="zh-CN"/>
        </w:rPr>
        <w:t>第八章  附则</w:t>
      </w:r>
    </w:p>
    <w:p w14:paraId="13A4A69E">
      <w:pPr>
        <w:spacing w:line="560" w:lineRule="exact"/>
        <w:ind w:firstLine="627"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b/>
          <w:bCs/>
          <w:color w:val="auto"/>
          <w:spacing w:val="-4"/>
          <w:sz w:val="32"/>
          <w:szCs w:val="32"/>
          <w:highlight w:val="none"/>
          <w:lang w:eastAsia="zh-CN"/>
        </w:rPr>
        <w:t>第十六条</w:t>
      </w:r>
      <w:r>
        <w:rPr>
          <w:rFonts w:ascii="Times New Roman" w:hAnsi="Times New Roman" w:eastAsia="仿宋" w:cs="Times New Roman"/>
          <w:color w:val="auto"/>
          <w:kern w:val="52"/>
          <w:sz w:val="32"/>
          <w:szCs w:val="32"/>
          <w:highlight w:val="none"/>
          <w:lang w:eastAsia="zh-CN"/>
        </w:rPr>
        <w:t xml:space="preserve">  本细则自发布之日起实施。</w:t>
      </w:r>
    </w:p>
    <w:p w14:paraId="2E98BC83">
      <w:pPr>
        <w:spacing w:line="560" w:lineRule="exact"/>
        <w:ind w:firstLine="627"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b/>
          <w:bCs/>
          <w:color w:val="auto"/>
          <w:spacing w:val="-4"/>
          <w:sz w:val="32"/>
          <w:szCs w:val="32"/>
          <w:highlight w:val="none"/>
          <w:lang w:eastAsia="zh-CN"/>
        </w:rPr>
        <w:t>第十七条</w:t>
      </w:r>
      <w:r>
        <w:rPr>
          <w:rFonts w:ascii="Times New Roman" w:hAnsi="Times New Roman" w:eastAsia="仿宋" w:cs="Times New Roman"/>
          <w:color w:val="auto"/>
          <w:kern w:val="52"/>
          <w:sz w:val="32"/>
          <w:szCs w:val="32"/>
          <w:highlight w:val="none"/>
          <w:lang w:eastAsia="zh-CN"/>
        </w:rPr>
        <w:t xml:space="preserve">  本细则由食品科学与工程学院负责解释，如与学校文件规定有出入，以学校文件规定为准。</w:t>
      </w:r>
    </w:p>
    <w:p w14:paraId="3484C183">
      <w:pPr>
        <w:spacing w:line="560" w:lineRule="exact"/>
        <w:jc w:val="both"/>
        <w:rPr>
          <w:rFonts w:ascii="Times New Roman" w:hAnsi="Times New Roman" w:eastAsia="仿宋" w:cs="Times New Roman"/>
          <w:color w:val="auto"/>
          <w:kern w:val="52"/>
          <w:sz w:val="32"/>
          <w:szCs w:val="32"/>
          <w:highlight w:val="none"/>
          <w:lang w:eastAsia="zh-CN"/>
        </w:rPr>
      </w:pPr>
    </w:p>
    <w:p w14:paraId="640082D9">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附件1.食品科学与工程学院本科生推免创新能力计算办法</w:t>
      </w:r>
    </w:p>
    <w:p w14:paraId="642A1D98">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t>附件2.食品科学与工程学院本科生推免科研认知报告</w:t>
      </w:r>
    </w:p>
    <w:p w14:paraId="61C3AF9B">
      <w:pPr>
        <w:spacing w:line="560" w:lineRule="exact"/>
        <w:jc w:val="both"/>
        <w:rPr>
          <w:rFonts w:ascii="Times New Roman" w:hAnsi="Times New Roman" w:eastAsia="仿宋" w:cs="Times New Roman"/>
          <w:color w:val="auto"/>
          <w:kern w:val="52"/>
          <w:sz w:val="32"/>
          <w:szCs w:val="32"/>
          <w:highlight w:val="none"/>
          <w:lang w:eastAsia="zh-CN"/>
        </w:rPr>
      </w:pPr>
    </w:p>
    <w:p w14:paraId="2BF2665D">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p>
    <w:p w14:paraId="25BC4760">
      <w:pPr>
        <w:spacing w:line="560" w:lineRule="exact"/>
        <w:ind w:firstLine="640" w:firstLineChars="200"/>
        <w:jc w:val="right"/>
        <w:rPr>
          <w:rFonts w:hint="eastAsia" w:ascii="Times New Roman" w:hAnsi="Times New Roman" w:eastAsia="仿宋" w:cs="Times New Roman"/>
          <w:color w:val="auto"/>
          <w:kern w:val="52"/>
          <w:sz w:val="32"/>
          <w:szCs w:val="32"/>
          <w:highlight w:val="none"/>
          <w:lang w:val="en-US" w:eastAsia="zh-CN"/>
        </w:rPr>
      </w:pPr>
      <w:r>
        <w:rPr>
          <w:rFonts w:hint="eastAsia" w:ascii="Times New Roman" w:hAnsi="Times New Roman" w:eastAsia="仿宋" w:cs="Times New Roman"/>
          <w:color w:val="auto"/>
          <w:kern w:val="52"/>
          <w:sz w:val="32"/>
          <w:szCs w:val="32"/>
          <w:highlight w:val="none"/>
          <w:lang w:val="en-US" w:eastAsia="zh-CN"/>
        </w:rPr>
        <w:t>食品科学与工程学院</w:t>
      </w:r>
    </w:p>
    <w:p w14:paraId="6131601C">
      <w:pPr>
        <w:spacing w:line="560" w:lineRule="exact"/>
        <w:ind w:firstLine="640" w:firstLineChars="200"/>
        <w:jc w:val="right"/>
        <w:rPr>
          <w:rFonts w:hint="default" w:ascii="Times New Roman" w:hAnsi="Times New Roman" w:eastAsia="仿宋" w:cs="Times New Roman"/>
          <w:color w:val="auto"/>
          <w:kern w:val="52"/>
          <w:sz w:val="32"/>
          <w:szCs w:val="32"/>
          <w:highlight w:val="none"/>
          <w:lang w:val="en-US" w:eastAsia="zh-CN"/>
        </w:rPr>
      </w:pPr>
      <w:r>
        <w:rPr>
          <w:rFonts w:hint="eastAsia" w:ascii="Times New Roman" w:hAnsi="Times New Roman" w:eastAsia="仿宋" w:cs="Times New Roman"/>
          <w:color w:val="auto"/>
          <w:kern w:val="52"/>
          <w:sz w:val="32"/>
          <w:szCs w:val="32"/>
          <w:highlight w:val="none"/>
          <w:lang w:val="en-US" w:eastAsia="zh-CN"/>
        </w:rPr>
        <w:t>2026年9月7日</w:t>
      </w:r>
    </w:p>
    <w:p w14:paraId="02A8AAE2">
      <w:pPr>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br w:type="page"/>
      </w:r>
    </w:p>
    <w:p w14:paraId="29563BFD">
      <w:pPr>
        <w:rPr>
          <w:color w:val="auto"/>
          <w:highlight w:val="none"/>
        </w:rPr>
      </w:pPr>
      <w:r>
        <w:rPr>
          <w:rFonts w:hint="eastAsia" w:ascii="宋体" w:hAnsi="宋体"/>
          <w:b/>
          <w:color w:val="auto"/>
          <w:sz w:val="28"/>
          <w:szCs w:val="28"/>
          <w:highlight w:val="none"/>
        </w:rPr>
        <w:t>附件1：</w:t>
      </w:r>
    </w:p>
    <w:p w14:paraId="6C4823E9">
      <w:pPr>
        <w:jc w:val="center"/>
        <w:rPr>
          <w:rFonts w:eastAsia="黑体"/>
          <w:bCs/>
          <w:color w:val="auto"/>
          <w:kern w:val="0"/>
          <w:sz w:val="36"/>
          <w:szCs w:val="36"/>
          <w:highlight w:val="none"/>
        </w:rPr>
      </w:pPr>
      <w:r>
        <w:rPr>
          <w:rFonts w:eastAsia="黑体"/>
          <w:bCs/>
          <w:color w:val="auto"/>
          <w:kern w:val="0"/>
          <w:sz w:val="36"/>
          <w:szCs w:val="36"/>
          <w:highlight w:val="none"/>
        </w:rPr>
        <w:t>食品科学与工程学院</w:t>
      </w:r>
    </w:p>
    <w:p w14:paraId="26969B08">
      <w:pPr>
        <w:jc w:val="center"/>
        <w:rPr>
          <w:rFonts w:eastAsia="黑体"/>
          <w:bCs/>
          <w:color w:val="auto"/>
          <w:kern w:val="0"/>
          <w:sz w:val="36"/>
          <w:szCs w:val="36"/>
          <w:highlight w:val="none"/>
        </w:rPr>
      </w:pPr>
      <w:r>
        <w:rPr>
          <w:rFonts w:eastAsia="黑体"/>
          <w:bCs/>
          <w:color w:val="auto"/>
          <w:kern w:val="0"/>
          <w:sz w:val="36"/>
          <w:szCs w:val="36"/>
          <w:highlight w:val="none"/>
        </w:rPr>
        <w:t>推荐优秀应届本科毕业生免试攻读硕士学位</w:t>
      </w:r>
    </w:p>
    <w:p w14:paraId="7AC63F45">
      <w:pPr>
        <w:jc w:val="center"/>
        <w:rPr>
          <w:color w:val="auto"/>
          <w:highlight w:val="none"/>
        </w:rPr>
      </w:pPr>
      <w:r>
        <w:rPr>
          <w:rFonts w:hint="eastAsia" w:eastAsia="黑体"/>
          <w:bCs/>
          <w:color w:val="auto"/>
          <w:kern w:val="0"/>
          <w:sz w:val="36"/>
          <w:szCs w:val="36"/>
          <w:highlight w:val="none"/>
        </w:rPr>
        <w:t>创新能力计算办法</w:t>
      </w:r>
    </w:p>
    <w:p w14:paraId="22763134">
      <w:pPr>
        <w:adjustRightInd w:val="0"/>
        <w:ind w:firstLine="640" w:firstLineChars="200"/>
        <w:jc w:val="left"/>
        <w:rPr>
          <w:rFonts w:eastAsia="仿宋"/>
          <w:color w:val="auto"/>
          <w:sz w:val="32"/>
          <w:szCs w:val="32"/>
          <w:highlight w:val="none"/>
        </w:rPr>
      </w:pPr>
      <w:r>
        <w:rPr>
          <w:rFonts w:hint="eastAsia" w:eastAsia="仿宋"/>
          <w:color w:val="auto"/>
          <w:sz w:val="32"/>
          <w:szCs w:val="32"/>
          <w:highlight w:val="none"/>
        </w:rPr>
        <w:t>一、大学生</w:t>
      </w:r>
      <w:r>
        <w:rPr>
          <w:rFonts w:eastAsia="仿宋"/>
          <w:color w:val="auto"/>
          <w:sz w:val="32"/>
          <w:szCs w:val="32"/>
          <w:highlight w:val="none"/>
        </w:rPr>
        <w:t>创新创业项目：申报获批项目，负责人0.2分，成员0.1分；通过结题验收项目，负责人0.4分，成员0.2分；结题优秀项目负责人0.8分，成员0.4分。其中，国家级、省级及校级系数分别为1.0、0.8、0.6。</w:t>
      </w:r>
    </w:p>
    <w:p w14:paraId="2B4A6A8A">
      <w:pPr>
        <w:adjustRightInd w:val="0"/>
        <w:ind w:firstLine="640" w:firstLineChars="200"/>
        <w:jc w:val="left"/>
        <w:rPr>
          <w:rFonts w:eastAsia="仿宋"/>
          <w:color w:val="auto"/>
          <w:sz w:val="32"/>
          <w:szCs w:val="32"/>
          <w:highlight w:val="none"/>
        </w:rPr>
      </w:pPr>
      <w:r>
        <w:rPr>
          <w:rFonts w:hint="eastAsia" w:eastAsia="仿宋"/>
          <w:color w:val="auto"/>
          <w:sz w:val="32"/>
          <w:szCs w:val="32"/>
          <w:highlight w:val="none"/>
        </w:rPr>
        <w:t>二、</w:t>
      </w:r>
      <w:r>
        <w:rPr>
          <w:rFonts w:eastAsia="仿宋"/>
          <w:color w:val="auto"/>
          <w:sz w:val="32"/>
          <w:szCs w:val="32"/>
          <w:highlight w:val="none"/>
        </w:rPr>
        <w:t>发表论文及获批专利：</w:t>
      </w:r>
      <w:r>
        <w:rPr>
          <w:rFonts w:hint="eastAsia" w:eastAsia="仿宋"/>
          <w:color w:val="auto"/>
          <w:sz w:val="32"/>
          <w:szCs w:val="32"/>
          <w:highlight w:val="none"/>
        </w:rPr>
        <w:t>以西北农林科技大学为第一单位，学生为第一作者或学生第二作者（教师为第一作者），中国科技期刊卓越行动计划入选期刊及以上</w:t>
      </w:r>
      <w:r>
        <w:rPr>
          <w:rFonts w:eastAsia="仿宋"/>
          <w:color w:val="auto"/>
          <w:sz w:val="32"/>
          <w:szCs w:val="32"/>
          <w:highlight w:val="none"/>
        </w:rPr>
        <w:t>1.5分，</w:t>
      </w:r>
      <w:r>
        <w:rPr>
          <w:rFonts w:hint="eastAsia" w:eastAsia="仿宋"/>
          <w:color w:val="auto"/>
          <w:sz w:val="32"/>
          <w:szCs w:val="32"/>
          <w:highlight w:val="none"/>
        </w:rPr>
        <w:t>北大中文核心期刊</w:t>
      </w:r>
      <w:r>
        <w:rPr>
          <w:rFonts w:eastAsia="仿宋"/>
          <w:color w:val="auto"/>
          <w:sz w:val="32"/>
          <w:szCs w:val="32"/>
          <w:highlight w:val="none"/>
        </w:rPr>
        <w:t>1分；以西北农林科技大学</w:t>
      </w:r>
      <w:r>
        <w:rPr>
          <w:rFonts w:hint="eastAsia" w:eastAsia="仿宋"/>
          <w:color w:val="auto"/>
          <w:sz w:val="32"/>
          <w:szCs w:val="32"/>
          <w:highlight w:val="none"/>
        </w:rPr>
        <w:t>为</w:t>
      </w:r>
      <w:r>
        <w:rPr>
          <w:rFonts w:eastAsia="仿宋"/>
          <w:color w:val="auto"/>
          <w:sz w:val="32"/>
          <w:szCs w:val="32"/>
          <w:highlight w:val="none"/>
        </w:rPr>
        <w:t>第一单位，学生为第一</w:t>
      </w:r>
      <w:r>
        <w:rPr>
          <w:rFonts w:hint="eastAsia" w:eastAsia="仿宋"/>
          <w:color w:val="auto"/>
          <w:sz w:val="32"/>
          <w:szCs w:val="32"/>
          <w:highlight w:val="none"/>
        </w:rPr>
        <w:t>发明人或教师为第一发明人、学生第二发明人</w:t>
      </w:r>
      <w:r>
        <w:rPr>
          <w:rFonts w:eastAsia="仿宋"/>
          <w:color w:val="auto"/>
          <w:sz w:val="32"/>
          <w:szCs w:val="32"/>
          <w:highlight w:val="none"/>
        </w:rPr>
        <w:t>，获批发明专利1.5分。以西北农林科技大学第一单位，学生为第二作者，</w:t>
      </w:r>
      <w:r>
        <w:rPr>
          <w:rFonts w:hint="eastAsia" w:eastAsia="仿宋"/>
          <w:color w:val="auto"/>
          <w:sz w:val="32"/>
          <w:szCs w:val="32"/>
          <w:highlight w:val="none"/>
        </w:rPr>
        <w:t>中国科技期刊卓越行动计划入选期刊及以上</w:t>
      </w:r>
      <w:r>
        <w:rPr>
          <w:rFonts w:eastAsia="仿宋"/>
          <w:color w:val="auto"/>
          <w:sz w:val="32"/>
          <w:szCs w:val="32"/>
          <w:highlight w:val="none"/>
        </w:rPr>
        <w:t>1.2分，</w:t>
      </w:r>
      <w:r>
        <w:rPr>
          <w:rFonts w:hint="eastAsia" w:eastAsia="仿宋"/>
          <w:color w:val="auto"/>
          <w:sz w:val="32"/>
          <w:szCs w:val="32"/>
          <w:highlight w:val="none"/>
        </w:rPr>
        <w:t>北大中文核心期刊</w:t>
      </w:r>
      <w:r>
        <w:rPr>
          <w:rFonts w:eastAsia="仿宋"/>
          <w:color w:val="auto"/>
          <w:sz w:val="32"/>
          <w:szCs w:val="32"/>
          <w:highlight w:val="none"/>
        </w:rPr>
        <w:t>0.7分；以西北农林科技大学第一单位，学生为第二</w:t>
      </w:r>
      <w:r>
        <w:rPr>
          <w:rFonts w:hint="eastAsia" w:eastAsia="仿宋"/>
          <w:color w:val="auto"/>
          <w:sz w:val="32"/>
          <w:szCs w:val="32"/>
          <w:highlight w:val="none"/>
        </w:rPr>
        <w:t>发明人</w:t>
      </w:r>
      <w:r>
        <w:rPr>
          <w:rFonts w:eastAsia="仿宋"/>
          <w:color w:val="auto"/>
          <w:sz w:val="32"/>
          <w:szCs w:val="32"/>
          <w:highlight w:val="none"/>
        </w:rPr>
        <w:t>，获批发明专利1.2分。第三作者</w:t>
      </w:r>
      <w:r>
        <w:rPr>
          <w:rFonts w:hint="eastAsia" w:eastAsia="仿宋"/>
          <w:color w:val="auto"/>
          <w:sz w:val="32"/>
          <w:szCs w:val="32"/>
          <w:highlight w:val="none"/>
        </w:rPr>
        <w:t>、发明人</w:t>
      </w:r>
      <w:r>
        <w:rPr>
          <w:rFonts w:eastAsia="仿宋"/>
          <w:color w:val="auto"/>
          <w:sz w:val="32"/>
          <w:szCs w:val="32"/>
          <w:highlight w:val="none"/>
        </w:rPr>
        <w:t>及以后不加分。</w:t>
      </w:r>
    </w:p>
    <w:p w14:paraId="60E5F105">
      <w:pPr>
        <w:adjustRightInd w:val="0"/>
        <w:ind w:firstLine="640" w:firstLineChars="200"/>
        <w:jc w:val="left"/>
        <w:rPr>
          <w:rFonts w:eastAsia="仿宋"/>
          <w:color w:val="auto"/>
          <w:sz w:val="32"/>
          <w:szCs w:val="32"/>
          <w:highlight w:val="none"/>
        </w:rPr>
      </w:pPr>
      <w:r>
        <w:rPr>
          <w:rFonts w:hint="eastAsia" w:eastAsia="仿宋"/>
          <w:color w:val="auto"/>
          <w:sz w:val="32"/>
          <w:szCs w:val="32"/>
          <w:highlight w:val="none"/>
        </w:rPr>
        <w:t>三、学科竞赛获奖：参与各类学科竞赛、学术竞赛、创新创业大赛并获奖。记分方法：</w:t>
      </w:r>
    </w:p>
    <w:p w14:paraId="1BFE78CA">
      <w:pPr>
        <w:adjustRightInd w:val="0"/>
        <w:jc w:val="left"/>
        <w:rPr>
          <w:rFonts w:hint="eastAsia" w:ascii="仿宋_GB2312" w:hAnsi="宋体" w:eastAsia="仿宋_GB2312"/>
          <w:color w:val="auto"/>
          <w:sz w:val="32"/>
          <w:szCs w:val="32"/>
          <w:highlight w:val="none"/>
        </w:rPr>
      </w:pPr>
    </w:p>
    <w:p w14:paraId="0C6CA1F2">
      <w:pPr>
        <w:adjustRightInd w:val="0"/>
        <w:ind w:firstLine="640" w:firstLineChars="200"/>
        <w:jc w:val="left"/>
        <w:rPr>
          <w:rFonts w:hint="eastAsia" w:ascii="仿宋_GB2312" w:hAnsi="宋体" w:eastAsia="仿宋_GB2312"/>
          <w:color w:val="auto"/>
          <w:sz w:val="32"/>
          <w:szCs w:val="32"/>
          <w:highlight w:val="none"/>
        </w:rPr>
      </w:pPr>
    </w:p>
    <w:p w14:paraId="6D87CB32">
      <w:pPr>
        <w:adjustRightInd w:val="0"/>
        <w:ind w:firstLine="640" w:firstLineChars="200"/>
        <w:jc w:val="left"/>
        <w:rPr>
          <w:rFonts w:hint="eastAsia" w:ascii="仿宋_GB2312" w:hAnsi="宋体" w:eastAsia="仿宋_GB2312"/>
          <w:color w:val="auto"/>
          <w:sz w:val="32"/>
          <w:szCs w:val="32"/>
          <w:highlight w:val="none"/>
        </w:rPr>
        <w:sectPr>
          <w:footerReference r:id="rId3" w:type="default"/>
          <w:pgSz w:w="11906" w:h="16838"/>
          <w:pgMar w:top="1440" w:right="1800" w:bottom="1440" w:left="1800" w:header="851" w:footer="992" w:gutter="0"/>
          <w:pgNumType w:fmt="decimal"/>
          <w:cols w:space="425" w:num="1"/>
          <w:docGrid w:type="lines" w:linePitch="312" w:charSpace="0"/>
        </w:sectPr>
      </w:pPr>
    </w:p>
    <w:tbl>
      <w:tblPr>
        <w:tblStyle w:val="11"/>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5"/>
        <w:gridCol w:w="487"/>
        <w:gridCol w:w="490"/>
        <w:gridCol w:w="490"/>
        <w:gridCol w:w="493"/>
        <w:gridCol w:w="490"/>
        <w:gridCol w:w="490"/>
        <w:gridCol w:w="490"/>
        <w:gridCol w:w="495"/>
        <w:gridCol w:w="492"/>
        <w:gridCol w:w="492"/>
        <w:gridCol w:w="492"/>
        <w:gridCol w:w="493"/>
        <w:gridCol w:w="492"/>
        <w:gridCol w:w="492"/>
        <w:gridCol w:w="493"/>
        <w:gridCol w:w="492"/>
        <w:gridCol w:w="458"/>
      </w:tblGrid>
      <w:tr w14:paraId="0BC4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81" w:type="pct"/>
            <w:vMerge w:val="restart"/>
            <w:shd w:val="clear" w:color="auto" w:fill="auto"/>
          </w:tcPr>
          <w:p w14:paraId="54DF04AE">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类别</w:t>
            </w:r>
          </w:p>
        </w:tc>
        <w:tc>
          <w:tcPr>
            <w:tcW w:w="1065" w:type="pct"/>
            <w:gridSpan w:val="4"/>
            <w:shd w:val="clear" w:color="auto" w:fill="auto"/>
          </w:tcPr>
          <w:p w14:paraId="0AC35E2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国际或国家级</w:t>
            </w:r>
          </w:p>
        </w:tc>
        <w:tc>
          <w:tcPr>
            <w:tcW w:w="1066" w:type="pct"/>
            <w:gridSpan w:val="4"/>
            <w:shd w:val="clear" w:color="auto" w:fill="auto"/>
          </w:tcPr>
          <w:p w14:paraId="03FEE671">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省部级</w:t>
            </w:r>
          </w:p>
        </w:tc>
        <w:tc>
          <w:tcPr>
            <w:tcW w:w="1068" w:type="pct"/>
            <w:gridSpan w:val="4"/>
            <w:shd w:val="clear" w:color="auto" w:fill="auto"/>
          </w:tcPr>
          <w:p w14:paraId="64DB3758">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地市级</w:t>
            </w:r>
          </w:p>
        </w:tc>
        <w:tc>
          <w:tcPr>
            <w:tcW w:w="801" w:type="pct"/>
            <w:gridSpan w:val="3"/>
            <w:shd w:val="clear" w:color="auto" w:fill="auto"/>
          </w:tcPr>
          <w:p w14:paraId="48E710F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校级或县区级</w:t>
            </w:r>
          </w:p>
        </w:tc>
        <w:tc>
          <w:tcPr>
            <w:tcW w:w="519" w:type="pct"/>
            <w:gridSpan w:val="2"/>
            <w:shd w:val="clear" w:color="auto" w:fill="auto"/>
          </w:tcPr>
          <w:p w14:paraId="6381F5EB">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院级</w:t>
            </w:r>
          </w:p>
        </w:tc>
      </w:tr>
      <w:tr w14:paraId="4A7C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81" w:type="pct"/>
            <w:vMerge w:val="continue"/>
            <w:shd w:val="clear" w:color="auto" w:fill="auto"/>
          </w:tcPr>
          <w:p w14:paraId="7F59CC7D">
            <w:pPr>
              <w:spacing w:line="560" w:lineRule="atLeast"/>
              <w:jc w:val="center"/>
              <w:rPr>
                <w:rFonts w:hint="eastAsia" w:ascii="宋体" w:hAnsi="宋体"/>
                <w:color w:val="auto"/>
                <w:szCs w:val="21"/>
                <w:highlight w:val="none"/>
              </w:rPr>
            </w:pPr>
          </w:p>
        </w:tc>
        <w:tc>
          <w:tcPr>
            <w:tcW w:w="265" w:type="pct"/>
            <w:shd w:val="clear" w:color="auto" w:fill="auto"/>
          </w:tcPr>
          <w:p w14:paraId="3306CE79">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A</w:t>
            </w:r>
          </w:p>
        </w:tc>
        <w:tc>
          <w:tcPr>
            <w:tcW w:w="266" w:type="pct"/>
            <w:shd w:val="clear" w:color="auto" w:fill="auto"/>
          </w:tcPr>
          <w:p w14:paraId="272BC390">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B</w:t>
            </w:r>
          </w:p>
        </w:tc>
        <w:tc>
          <w:tcPr>
            <w:tcW w:w="266" w:type="pct"/>
            <w:shd w:val="clear" w:color="auto" w:fill="auto"/>
          </w:tcPr>
          <w:p w14:paraId="54FA295A">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C</w:t>
            </w:r>
          </w:p>
        </w:tc>
        <w:tc>
          <w:tcPr>
            <w:tcW w:w="268" w:type="pct"/>
            <w:shd w:val="clear" w:color="auto" w:fill="auto"/>
          </w:tcPr>
          <w:p w14:paraId="1C114AD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D</w:t>
            </w:r>
          </w:p>
        </w:tc>
        <w:tc>
          <w:tcPr>
            <w:tcW w:w="266" w:type="pct"/>
            <w:shd w:val="clear" w:color="auto" w:fill="auto"/>
          </w:tcPr>
          <w:p w14:paraId="5E702E0F">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A</w:t>
            </w:r>
          </w:p>
        </w:tc>
        <w:tc>
          <w:tcPr>
            <w:tcW w:w="266" w:type="pct"/>
            <w:shd w:val="clear" w:color="auto" w:fill="auto"/>
          </w:tcPr>
          <w:p w14:paraId="10A3D224">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B</w:t>
            </w:r>
          </w:p>
        </w:tc>
        <w:tc>
          <w:tcPr>
            <w:tcW w:w="266" w:type="pct"/>
            <w:shd w:val="clear" w:color="auto" w:fill="auto"/>
          </w:tcPr>
          <w:p w14:paraId="77C156A3">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C</w:t>
            </w:r>
          </w:p>
        </w:tc>
        <w:tc>
          <w:tcPr>
            <w:tcW w:w="269" w:type="pct"/>
            <w:shd w:val="clear" w:color="auto" w:fill="auto"/>
          </w:tcPr>
          <w:p w14:paraId="4F25A7D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D</w:t>
            </w:r>
          </w:p>
        </w:tc>
        <w:tc>
          <w:tcPr>
            <w:tcW w:w="267" w:type="pct"/>
            <w:shd w:val="clear" w:color="auto" w:fill="auto"/>
          </w:tcPr>
          <w:p w14:paraId="72A3FFD3">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A</w:t>
            </w:r>
          </w:p>
        </w:tc>
        <w:tc>
          <w:tcPr>
            <w:tcW w:w="267" w:type="pct"/>
            <w:shd w:val="clear" w:color="auto" w:fill="auto"/>
          </w:tcPr>
          <w:p w14:paraId="189A280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B</w:t>
            </w:r>
          </w:p>
        </w:tc>
        <w:tc>
          <w:tcPr>
            <w:tcW w:w="267" w:type="pct"/>
            <w:shd w:val="clear" w:color="auto" w:fill="auto"/>
          </w:tcPr>
          <w:p w14:paraId="6CFD8CFF">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C</w:t>
            </w:r>
          </w:p>
        </w:tc>
        <w:tc>
          <w:tcPr>
            <w:tcW w:w="268" w:type="pct"/>
            <w:shd w:val="clear" w:color="auto" w:fill="auto"/>
          </w:tcPr>
          <w:p w14:paraId="5616FC49">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D</w:t>
            </w:r>
          </w:p>
        </w:tc>
        <w:tc>
          <w:tcPr>
            <w:tcW w:w="267" w:type="pct"/>
            <w:shd w:val="clear" w:color="auto" w:fill="auto"/>
          </w:tcPr>
          <w:p w14:paraId="4AD95ADB">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A</w:t>
            </w:r>
          </w:p>
        </w:tc>
        <w:tc>
          <w:tcPr>
            <w:tcW w:w="267" w:type="pct"/>
            <w:shd w:val="clear" w:color="auto" w:fill="auto"/>
          </w:tcPr>
          <w:p w14:paraId="0F7F5156">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B</w:t>
            </w:r>
          </w:p>
        </w:tc>
        <w:tc>
          <w:tcPr>
            <w:tcW w:w="268" w:type="pct"/>
            <w:shd w:val="clear" w:color="auto" w:fill="auto"/>
          </w:tcPr>
          <w:p w14:paraId="2260188D">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C</w:t>
            </w:r>
          </w:p>
        </w:tc>
        <w:tc>
          <w:tcPr>
            <w:tcW w:w="267" w:type="pct"/>
            <w:shd w:val="clear" w:color="auto" w:fill="auto"/>
          </w:tcPr>
          <w:p w14:paraId="5B9A9790">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A</w:t>
            </w:r>
          </w:p>
        </w:tc>
        <w:tc>
          <w:tcPr>
            <w:tcW w:w="253" w:type="pct"/>
            <w:shd w:val="clear" w:color="auto" w:fill="auto"/>
          </w:tcPr>
          <w:p w14:paraId="54B54DF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B</w:t>
            </w:r>
          </w:p>
        </w:tc>
      </w:tr>
      <w:tr w14:paraId="2AD8C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81" w:type="pct"/>
            <w:shd w:val="clear" w:color="auto" w:fill="auto"/>
          </w:tcPr>
          <w:p w14:paraId="17E04080">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第1获奖人</w:t>
            </w:r>
          </w:p>
        </w:tc>
        <w:tc>
          <w:tcPr>
            <w:tcW w:w="265" w:type="pct"/>
            <w:shd w:val="clear" w:color="auto" w:fill="auto"/>
          </w:tcPr>
          <w:p w14:paraId="11172E58">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1</w:t>
            </w:r>
          </w:p>
        </w:tc>
        <w:tc>
          <w:tcPr>
            <w:tcW w:w="266" w:type="pct"/>
            <w:shd w:val="clear" w:color="auto" w:fill="auto"/>
          </w:tcPr>
          <w:p w14:paraId="41599027">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8</w:t>
            </w:r>
          </w:p>
        </w:tc>
        <w:tc>
          <w:tcPr>
            <w:tcW w:w="266" w:type="pct"/>
            <w:shd w:val="clear" w:color="auto" w:fill="auto"/>
          </w:tcPr>
          <w:p w14:paraId="23FC0C2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6</w:t>
            </w:r>
          </w:p>
        </w:tc>
        <w:tc>
          <w:tcPr>
            <w:tcW w:w="268" w:type="pct"/>
            <w:shd w:val="clear" w:color="auto" w:fill="auto"/>
          </w:tcPr>
          <w:p w14:paraId="1769E6F1">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6" w:type="pct"/>
            <w:shd w:val="clear" w:color="auto" w:fill="auto"/>
          </w:tcPr>
          <w:p w14:paraId="54CD71AF">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8</w:t>
            </w:r>
          </w:p>
        </w:tc>
        <w:tc>
          <w:tcPr>
            <w:tcW w:w="266" w:type="pct"/>
            <w:shd w:val="clear" w:color="auto" w:fill="auto"/>
          </w:tcPr>
          <w:p w14:paraId="688F2103">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6</w:t>
            </w:r>
          </w:p>
        </w:tc>
        <w:tc>
          <w:tcPr>
            <w:tcW w:w="266" w:type="pct"/>
            <w:shd w:val="clear" w:color="auto" w:fill="auto"/>
          </w:tcPr>
          <w:p w14:paraId="55F25325">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9" w:type="pct"/>
            <w:shd w:val="clear" w:color="auto" w:fill="auto"/>
          </w:tcPr>
          <w:p w14:paraId="4C6C913A">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7" w:type="pct"/>
            <w:shd w:val="clear" w:color="auto" w:fill="auto"/>
          </w:tcPr>
          <w:p w14:paraId="7C0C2F4A">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6</w:t>
            </w:r>
          </w:p>
        </w:tc>
        <w:tc>
          <w:tcPr>
            <w:tcW w:w="267" w:type="pct"/>
            <w:shd w:val="clear" w:color="auto" w:fill="auto"/>
          </w:tcPr>
          <w:p w14:paraId="7A7F263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7" w:type="pct"/>
            <w:shd w:val="clear" w:color="auto" w:fill="auto"/>
          </w:tcPr>
          <w:p w14:paraId="7AE8E676">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8" w:type="pct"/>
            <w:shd w:val="clear" w:color="auto" w:fill="auto"/>
          </w:tcPr>
          <w:p w14:paraId="53DE33C7">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7" w:type="pct"/>
            <w:shd w:val="clear" w:color="auto" w:fill="auto"/>
          </w:tcPr>
          <w:p w14:paraId="0E753D53">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7" w:type="pct"/>
            <w:shd w:val="clear" w:color="auto" w:fill="auto"/>
          </w:tcPr>
          <w:p w14:paraId="42BE5F6F">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8" w:type="pct"/>
            <w:shd w:val="clear" w:color="auto" w:fill="auto"/>
          </w:tcPr>
          <w:p w14:paraId="1C600DB4">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7" w:type="pct"/>
            <w:shd w:val="clear" w:color="auto" w:fill="auto"/>
          </w:tcPr>
          <w:p w14:paraId="2BFA66D8">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53" w:type="pct"/>
            <w:shd w:val="clear" w:color="auto" w:fill="auto"/>
          </w:tcPr>
          <w:p w14:paraId="404825A4">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r>
      <w:tr w14:paraId="6628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81" w:type="pct"/>
            <w:shd w:val="clear" w:color="auto" w:fill="auto"/>
          </w:tcPr>
          <w:p w14:paraId="5A80BB9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第</w:t>
            </w:r>
            <w:r>
              <w:rPr>
                <w:rFonts w:ascii="宋体" w:hAnsi="宋体"/>
                <w:color w:val="auto"/>
                <w:szCs w:val="21"/>
                <w:highlight w:val="none"/>
              </w:rPr>
              <w:t>2</w:t>
            </w:r>
            <w:r>
              <w:rPr>
                <w:rFonts w:hint="eastAsia" w:ascii="宋体" w:hAnsi="宋体"/>
                <w:color w:val="auto"/>
                <w:szCs w:val="21"/>
                <w:highlight w:val="none"/>
              </w:rPr>
              <w:t>获奖人</w:t>
            </w:r>
          </w:p>
        </w:tc>
        <w:tc>
          <w:tcPr>
            <w:tcW w:w="265" w:type="pct"/>
            <w:shd w:val="clear" w:color="auto" w:fill="auto"/>
          </w:tcPr>
          <w:p w14:paraId="17A8BABD">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8</w:t>
            </w:r>
          </w:p>
        </w:tc>
        <w:tc>
          <w:tcPr>
            <w:tcW w:w="266" w:type="pct"/>
            <w:shd w:val="clear" w:color="auto" w:fill="auto"/>
          </w:tcPr>
          <w:p w14:paraId="3F10B15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6</w:t>
            </w:r>
          </w:p>
        </w:tc>
        <w:tc>
          <w:tcPr>
            <w:tcW w:w="266" w:type="pct"/>
            <w:shd w:val="clear" w:color="auto" w:fill="auto"/>
          </w:tcPr>
          <w:p w14:paraId="7E6F1CEE">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8" w:type="pct"/>
            <w:shd w:val="clear" w:color="auto" w:fill="auto"/>
          </w:tcPr>
          <w:p w14:paraId="07B5D29F">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6" w:type="pct"/>
            <w:shd w:val="clear" w:color="auto" w:fill="auto"/>
          </w:tcPr>
          <w:p w14:paraId="655DD07C">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6</w:t>
            </w:r>
          </w:p>
        </w:tc>
        <w:tc>
          <w:tcPr>
            <w:tcW w:w="266" w:type="pct"/>
            <w:shd w:val="clear" w:color="auto" w:fill="auto"/>
          </w:tcPr>
          <w:p w14:paraId="5B14242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6" w:type="pct"/>
            <w:shd w:val="clear" w:color="auto" w:fill="auto"/>
          </w:tcPr>
          <w:p w14:paraId="2EBABBDD">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9" w:type="pct"/>
            <w:shd w:val="clear" w:color="auto" w:fill="auto"/>
          </w:tcPr>
          <w:p w14:paraId="4CC5D7C3">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7" w:type="pct"/>
            <w:shd w:val="clear" w:color="auto" w:fill="auto"/>
          </w:tcPr>
          <w:p w14:paraId="5CF342CF">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7" w:type="pct"/>
            <w:shd w:val="clear" w:color="auto" w:fill="auto"/>
          </w:tcPr>
          <w:p w14:paraId="7B56D969">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7" w:type="pct"/>
            <w:shd w:val="clear" w:color="auto" w:fill="auto"/>
          </w:tcPr>
          <w:p w14:paraId="4DDF85A8">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8" w:type="pct"/>
            <w:shd w:val="clear" w:color="auto" w:fill="auto"/>
          </w:tcPr>
          <w:p w14:paraId="1317694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042DB9AF">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7" w:type="pct"/>
            <w:shd w:val="clear" w:color="auto" w:fill="auto"/>
          </w:tcPr>
          <w:p w14:paraId="69392498">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8" w:type="pct"/>
            <w:shd w:val="clear" w:color="auto" w:fill="auto"/>
          </w:tcPr>
          <w:p w14:paraId="503DD9FF">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6FE0F25C">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53" w:type="pct"/>
            <w:shd w:val="clear" w:color="auto" w:fill="auto"/>
          </w:tcPr>
          <w:p w14:paraId="23BEB4C0">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r>
      <w:tr w14:paraId="2C60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81" w:type="pct"/>
            <w:shd w:val="clear" w:color="auto" w:fill="auto"/>
          </w:tcPr>
          <w:p w14:paraId="4BB2A99A">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第</w:t>
            </w:r>
            <w:r>
              <w:rPr>
                <w:rFonts w:ascii="宋体" w:hAnsi="宋体"/>
                <w:color w:val="auto"/>
                <w:szCs w:val="21"/>
                <w:highlight w:val="none"/>
              </w:rPr>
              <w:t>3</w:t>
            </w:r>
            <w:r>
              <w:rPr>
                <w:rFonts w:hint="eastAsia" w:ascii="宋体" w:hAnsi="宋体"/>
                <w:color w:val="auto"/>
                <w:szCs w:val="21"/>
                <w:highlight w:val="none"/>
              </w:rPr>
              <w:t>获奖人</w:t>
            </w:r>
          </w:p>
        </w:tc>
        <w:tc>
          <w:tcPr>
            <w:tcW w:w="265" w:type="pct"/>
            <w:shd w:val="clear" w:color="auto" w:fill="auto"/>
          </w:tcPr>
          <w:p w14:paraId="2021448D">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6</w:t>
            </w:r>
          </w:p>
        </w:tc>
        <w:tc>
          <w:tcPr>
            <w:tcW w:w="266" w:type="pct"/>
            <w:shd w:val="clear" w:color="auto" w:fill="auto"/>
          </w:tcPr>
          <w:p w14:paraId="374F9344">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6" w:type="pct"/>
            <w:shd w:val="clear" w:color="auto" w:fill="auto"/>
          </w:tcPr>
          <w:p w14:paraId="02D15A78">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8" w:type="pct"/>
            <w:shd w:val="clear" w:color="auto" w:fill="auto"/>
          </w:tcPr>
          <w:p w14:paraId="34885B0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6" w:type="pct"/>
            <w:shd w:val="clear" w:color="auto" w:fill="auto"/>
          </w:tcPr>
          <w:p w14:paraId="6E17EBB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6" w:type="pct"/>
            <w:shd w:val="clear" w:color="auto" w:fill="auto"/>
          </w:tcPr>
          <w:p w14:paraId="26B9A3DE">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6" w:type="pct"/>
            <w:shd w:val="clear" w:color="auto" w:fill="auto"/>
          </w:tcPr>
          <w:p w14:paraId="3AD048E6">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9" w:type="pct"/>
            <w:shd w:val="clear" w:color="auto" w:fill="auto"/>
          </w:tcPr>
          <w:p w14:paraId="638983CF">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2D927763">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7" w:type="pct"/>
            <w:shd w:val="clear" w:color="auto" w:fill="auto"/>
          </w:tcPr>
          <w:p w14:paraId="66FAECFA">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7" w:type="pct"/>
            <w:shd w:val="clear" w:color="auto" w:fill="auto"/>
          </w:tcPr>
          <w:p w14:paraId="43620EC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8" w:type="pct"/>
            <w:shd w:val="clear" w:color="auto" w:fill="auto"/>
          </w:tcPr>
          <w:p w14:paraId="23DCFD73">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6FF3D78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7" w:type="pct"/>
            <w:shd w:val="clear" w:color="auto" w:fill="auto"/>
          </w:tcPr>
          <w:p w14:paraId="789F4893">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8" w:type="pct"/>
            <w:shd w:val="clear" w:color="auto" w:fill="auto"/>
          </w:tcPr>
          <w:p w14:paraId="11B03201">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2F7B1AEB">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53" w:type="pct"/>
            <w:shd w:val="clear" w:color="auto" w:fill="auto"/>
          </w:tcPr>
          <w:p w14:paraId="20C478F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r>
      <w:tr w14:paraId="3D73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81" w:type="pct"/>
            <w:shd w:val="clear" w:color="auto" w:fill="auto"/>
          </w:tcPr>
          <w:p w14:paraId="1499C541">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其他获奖人</w:t>
            </w:r>
          </w:p>
        </w:tc>
        <w:tc>
          <w:tcPr>
            <w:tcW w:w="265" w:type="pct"/>
            <w:shd w:val="clear" w:color="auto" w:fill="auto"/>
          </w:tcPr>
          <w:p w14:paraId="6A310FE0">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4</w:t>
            </w:r>
          </w:p>
        </w:tc>
        <w:tc>
          <w:tcPr>
            <w:tcW w:w="266" w:type="pct"/>
            <w:shd w:val="clear" w:color="auto" w:fill="auto"/>
          </w:tcPr>
          <w:p w14:paraId="773AE63A">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6" w:type="pct"/>
            <w:shd w:val="clear" w:color="auto" w:fill="auto"/>
          </w:tcPr>
          <w:p w14:paraId="299F47D1">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8" w:type="pct"/>
            <w:shd w:val="clear" w:color="auto" w:fill="auto"/>
          </w:tcPr>
          <w:p w14:paraId="5E92E36F">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6" w:type="pct"/>
            <w:shd w:val="clear" w:color="auto" w:fill="auto"/>
          </w:tcPr>
          <w:p w14:paraId="442BF03E">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2</w:t>
            </w:r>
          </w:p>
        </w:tc>
        <w:tc>
          <w:tcPr>
            <w:tcW w:w="266" w:type="pct"/>
            <w:shd w:val="clear" w:color="auto" w:fill="auto"/>
          </w:tcPr>
          <w:p w14:paraId="64AC48F9">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6" w:type="pct"/>
            <w:shd w:val="clear" w:color="auto" w:fill="auto"/>
          </w:tcPr>
          <w:p w14:paraId="4078591D">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9" w:type="pct"/>
            <w:shd w:val="clear" w:color="auto" w:fill="auto"/>
          </w:tcPr>
          <w:p w14:paraId="63FF9383">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5ECAEA98">
            <w:pPr>
              <w:spacing w:line="560" w:lineRule="atLeast"/>
              <w:jc w:val="center"/>
              <w:rPr>
                <w:rFonts w:hint="eastAsia" w:ascii="宋体" w:hAnsi="宋体"/>
                <w:color w:val="auto"/>
                <w:szCs w:val="21"/>
                <w:highlight w:val="none"/>
              </w:rPr>
            </w:pPr>
            <w:r>
              <w:rPr>
                <w:rFonts w:ascii="宋体" w:hAnsi="宋体"/>
                <w:color w:val="auto"/>
                <w:szCs w:val="21"/>
                <w:highlight w:val="none"/>
              </w:rPr>
              <w:t>0.</w:t>
            </w:r>
            <w:r>
              <w:rPr>
                <w:rFonts w:hint="eastAsia" w:ascii="宋体" w:hAnsi="宋体"/>
                <w:color w:val="auto"/>
                <w:szCs w:val="21"/>
                <w:highlight w:val="none"/>
              </w:rPr>
              <w:t>1</w:t>
            </w:r>
          </w:p>
        </w:tc>
        <w:tc>
          <w:tcPr>
            <w:tcW w:w="267" w:type="pct"/>
            <w:shd w:val="clear" w:color="auto" w:fill="auto"/>
          </w:tcPr>
          <w:p w14:paraId="2996B98A">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1658A153">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8" w:type="pct"/>
            <w:shd w:val="clear" w:color="auto" w:fill="auto"/>
          </w:tcPr>
          <w:p w14:paraId="6131BDD9">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4C4D1FB9">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45C6D9A5">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8" w:type="pct"/>
            <w:shd w:val="clear" w:color="auto" w:fill="auto"/>
          </w:tcPr>
          <w:p w14:paraId="789855D2">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67" w:type="pct"/>
            <w:shd w:val="clear" w:color="auto" w:fill="auto"/>
          </w:tcPr>
          <w:p w14:paraId="0721530D">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c>
          <w:tcPr>
            <w:tcW w:w="253" w:type="pct"/>
            <w:shd w:val="clear" w:color="auto" w:fill="auto"/>
          </w:tcPr>
          <w:p w14:paraId="247BD3A5">
            <w:pPr>
              <w:spacing w:line="560" w:lineRule="atLeast"/>
              <w:jc w:val="center"/>
              <w:rPr>
                <w:rFonts w:hint="eastAsia" w:ascii="宋体" w:hAnsi="宋体"/>
                <w:color w:val="auto"/>
                <w:szCs w:val="21"/>
                <w:highlight w:val="none"/>
              </w:rPr>
            </w:pPr>
            <w:r>
              <w:rPr>
                <w:rFonts w:hint="eastAsia" w:ascii="宋体" w:hAnsi="宋体"/>
                <w:color w:val="auto"/>
                <w:szCs w:val="21"/>
                <w:highlight w:val="none"/>
              </w:rPr>
              <w:t>0</w:t>
            </w:r>
          </w:p>
        </w:tc>
      </w:tr>
    </w:tbl>
    <w:p w14:paraId="053BE385">
      <w:pPr>
        <w:rPr>
          <w:color w:val="auto"/>
          <w:highlight w:val="none"/>
        </w:rPr>
      </w:pPr>
      <w:r>
        <w:rPr>
          <w:rFonts w:hint="eastAsia" w:ascii="宋体" w:hAnsi="宋体"/>
          <w:color w:val="auto"/>
          <w:szCs w:val="21"/>
          <w:highlight w:val="none"/>
        </w:rPr>
        <w:t>注：A等指特等奖、一等奖、金奖，B等指二等奖、银奖、单项一等奖，C等指三等奖、铜奖、单项二等奖，D指优秀奖、鼓励奖等。</w:t>
      </w:r>
    </w:p>
    <w:p w14:paraId="0A51125E">
      <w:pPr>
        <w:rPr>
          <w:rFonts w:ascii="Times New Roman" w:hAnsi="Times New Roman" w:eastAsia="仿宋" w:cs="Times New Roman"/>
          <w:color w:val="auto"/>
          <w:kern w:val="52"/>
          <w:sz w:val="32"/>
          <w:szCs w:val="32"/>
          <w:highlight w:val="none"/>
          <w:lang w:eastAsia="zh-CN"/>
        </w:rPr>
      </w:pPr>
      <w:r>
        <w:rPr>
          <w:rFonts w:ascii="Times New Roman" w:hAnsi="Times New Roman" w:eastAsia="仿宋" w:cs="Times New Roman"/>
          <w:color w:val="auto"/>
          <w:kern w:val="52"/>
          <w:sz w:val="32"/>
          <w:szCs w:val="32"/>
          <w:highlight w:val="none"/>
          <w:lang w:eastAsia="zh-CN"/>
        </w:rPr>
        <w:br w:type="page"/>
      </w:r>
    </w:p>
    <w:p w14:paraId="476FABCA">
      <w:pPr>
        <w:rPr>
          <w:rFonts w:hint="eastAsia" w:ascii="宋体" w:hAnsi="宋体"/>
          <w:b/>
          <w:color w:val="auto"/>
          <w:sz w:val="28"/>
          <w:szCs w:val="28"/>
          <w:highlight w:val="none"/>
        </w:rPr>
      </w:pPr>
      <w:r>
        <w:rPr>
          <w:rFonts w:hint="eastAsia" w:ascii="宋体" w:hAnsi="宋体"/>
          <w:b/>
          <w:color w:val="auto"/>
          <w:sz w:val="28"/>
          <w:szCs w:val="28"/>
          <w:highlight w:val="none"/>
        </w:rPr>
        <w:t>附件2：</w:t>
      </w:r>
    </w:p>
    <w:p w14:paraId="1C5016E5">
      <w:pPr>
        <w:spacing w:line="400" w:lineRule="exact"/>
        <w:jc w:val="center"/>
        <w:rPr>
          <w:rFonts w:hint="eastAsia" w:ascii="黑体" w:eastAsia="黑体"/>
          <w:color w:val="auto"/>
          <w:sz w:val="34"/>
          <w:highlight w:val="none"/>
        </w:rPr>
      </w:pPr>
      <w:r>
        <w:rPr>
          <w:rFonts w:hint="eastAsia" w:ascii="黑体" w:eastAsia="黑体"/>
          <w:color w:val="auto"/>
          <w:sz w:val="34"/>
          <w:highlight w:val="none"/>
        </w:rPr>
        <w:t>食品科学与工程学院</w:t>
      </w:r>
    </w:p>
    <w:p w14:paraId="0AB089B1">
      <w:pPr>
        <w:spacing w:line="400" w:lineRule="exact"/>
        <w:jc w:val="center"/>
        <w:rPr>
          <w:rFonts w:ascii="黑体" w:eastAsia="黑体"/>
          <w:color w:val="auto"/>
          <w:sz w:val="34"/>
          <w:highlight w:val="none"/>
        </w:rPr>
      </w:pPr>
      <w:r>
        <w:rPr>
          <w:rFonts w:hint="eastAsia" w:ascii="黑体" w:eastAsia="黑体"/>
          <w:color w:val="auto"/>
          <w:sz w:val="34"/>
          <w:highlight w:val="none"/>
        </w:rPr>
        <w:t>申请推荐优秀应届本科毕业生免试攻读硕士学位研究生</w:t>
      </w:r>
    </w:p>
    <w:p w14:paraId="7646B0E6">
      <w:pPr>
        <w:spacing w:line="400" w:lineRule="exact"/>
        <w:jc w:val="center"/>
        <w:rPr>
          <w:rFonts w:hint="eastAsia" w:ascii="黑体" w:eastAsia="黑体"/>
          <w:color w:val="auto"/>
          <w:sz w:val="28"/>
          <w:highlight w:val="none"/>
        </w:rPr>
      </w:pPr>
      <w:r>
        <w:rPr>
          <w:rFonts w:hint="eastAsia" w:ascii="黑体" w:eastAsia="黑体"/>
          <w:color w:val="auto"/>
          <w:sz w:val="34"/>
          <w:highlight w:val="none"/>
        </w:rPr>
        <w:t>科研认知报告</w:t>
      </w:r>
    </w:p>
    <w:tbl>
      <w:tblPr>
        <w:tblStyle w:val="11"/>
        <w:tblW w:w="96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93"/>
        <w:gridCol w:w="388"/>
        <w:gridCol w:w="390"/>
        <w:gridCol w:w="43"/>
        <w:gridCol w:w="332"/>
        <w:gridCol w:w="379"/>
        <w:gridCol w:w="43"/>
        <w:gridCol w:w="338"/>
        <w:gridCol w:w="334"/>
        <w:gridCol w:w="44"/>
        <w:gridCol w:w="429"/>
        <w:gridCol w:w="381"/>
        <w:gridCol w:w="470"/>
        <w:gridCol w:w="386"/>
        <w:gridCol w:w="381"/>
        <w:gridCol w:w="398"/>
        <w:gridCol w:w="348"/>
        <w:gridCol w:w="33"/>
        <w:gridCol w:w="381"/>
        <w:gridCol w:w="296"/>
        <w:gridCol w:w="93"/>
        <w:gridCol w:w="371"/>
        <w:gridCol w:w="383"/>
        <w:gridCol w:w="432"/>
        <w:gridCol w:w="1298"/>
      </w:tblGrid>
      <w:tr w14:paraId="3B27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trPr>
        <w:tc>
          <w:tcPr>
            <w:tcW w:w="898" w:type="dxa"/>
            <w:noWrap w:val="0"/>
            <w:vAlign w:val="center"/>
          </w:tcPr>
          <w:p w14:paraId="0832CA8B">
            <w:pPr>
              <w:jc w:val="center"/>
              <w:rPr>
                <w:rFonts w:hint="eastAsia"/>
                <w:color w:val="auto"/>
                <w:highlight w:val="none"/>
              </w:rPr>
            </w:pPr>
            <w:r>
              <w:rPr>
                <w:rFonts w:hint="eastAsia"/>
                <w:color w:val="auto"/>
                <w:highlight w:val="none"/>
              </w:rPr>
              <w:t>姓名</w:t>
            </w:r>
          </w:p>
        </w:tc>
        <w:tc>
          <w:tcPr>
            <w:tcW w:w="1214" w:type="dxa"/>
            <w:gridSpan w:val="4"/>
            <w:noWrap w:val="0"/>
            <w:vAlign w:val="center"/>
          </w:tcPr>
          <w:p w14:paraId="498808E0">
            <w:pPr>
              <w:jc w:val="center"/>
              <w:rPr>
                <w:rFonts w:hint="eastAsia"/>
                <w:color w:val="auto"/>
                <w:highlight w:val="none"/>
              </w:rPr>
            </w:pPr>
          </w:p>
        </w:tc>
        <w:tc>
          <w:tcPr>
            <w:tcW w:w="754" w:type="dxa"/>
            <w:gridSpan w:val="3"/>
            <w:noWrap w:val="0"/>
            <w:vAlign w:val="center"/>
          </w:tcPr>
          <w:p w14:paraId="56BAC55B">
            <w:pPr>
              <w:jc w:val="center"/>
              <w:rPr>
                <w:rFonts w:hint="eastAsia"/>
                <w:color w:val="auto"/>
                <w:highlight w:val="none"/>
              </w:rPr>
            </w:pPr>
            <w:r>
              <w:rPr>
                <w:rFonts w:hint="eastAsia"/>
                <w:color w:val="auto"/>
                <w:highlight w:val="none"/>
              </w:rPr>
              <w:t>性别</w:t>
            </w:r>
          </w:p>
        </w:tc>
        <w:tc>
          <w:tcPr>
            <w:tcW w:w="672" w:type="dxa"/>
            <w:gridSpan w:val="2"/>
            <w:noWrap w:val="0"/>
            <w:vAlign w:val="center"/>
          </w:tcPr>
          <w:p w14:paraId="588EEA47">
            <w:pPr>
              <w:jc w:val="center"/>
              <w:rPr>
                <w:rFonts w:hint="eastAsia"/>
                <w:color w:val="auto"/>
                <w:highlight w:val="none"/>
              </w:rPr>
            </w:pPr>
          </w:p>
        </w:tc>
        <w:tc>
          <w:tcPr>
            <w:tcW w:w="1324" w:type="dxa"/>
            <w:gridSpan w:val="4"/>
            <w:noWrap w:val="0"/>
            <w:vAlign w:val="center"/>
          </w:tcPr>
          <w:p w14:paraId="12109822">
            <w:pPr>
              <w:jc w:val="center"/>
              <w:rPr>
                <w:rFonts w:hint="eastAsia"/>
                <w:color w:val="auto"/>
                <w:highlight w:val="none"/>
              </w:rPr>
            </w:pPr>
            <w:r>
              <w:rPr>
                <w:rFonts w:hint="eastAsia"/>
                <w:color w:val="auto"/>
                <w:highlight w:val="none"/>
              </w:rPr>
              <w:t>出生年月日</w:t>
            </w:r>
          </w:p>
        </w:tc>
        <w:tc>
          <w:tcPr>
            <w:tcW w:w="1513" w:type="dxa"/>
            <w:gridSpan w:val="4"/>
            <w:noWrap w:val="0"/>
            <w:vAlign w:val="center"/>
          </w:tcPr>
          <w:p w14:paraId="06A57411">
            <w:pPr>
              <w:jc w:val="center"/>
              <w:rPr>
                <w:rFonts w:hint="eastAsia"/>
                <w:color w:val="auto"/>
                <w:highlight w:val="none"/>
              </w:rPr>
            </w:pPr>
          </w:p>
        </w:tc>
        <w:tc>
          <w:tcPr>
            <w:tcW w:w="710" w:type="dxa"/>
            <w:gridSpan w:val="3"/>
            <w:noWrap w:val="0"/>
            <w:vAlign w:val="center"/>
          </w:tcPr>
          <w:p w14:paraId="12F0B186">
            <w:pPr>
              <w:jc w:val="center"/>
              <w:rPr>
                <w:rFonts w:hint="eastAsia"/>
                <w:color w:val="auto"/>
                <w:highlight w:val="none"/>
              </w:rPr>
            </w:pPr>
            <w:r>
              <w:rPr>
                <w:rFonts w:hint="eastAsia"/>
                <w:color w:val="auto"/>
                <w:highlight w:val="none"/>
              </w:rPr>
              <w:t>学号</w:t>
            </w:r>
          </w:p>
        </w:tc>
        <w:tc>
          <w:tcPr>
            <w:tcW w:w="1279" w:type="dxa"/>
            <w:gridSpan w:val="4"/>
            <w:noWrap w:val="0"/>
            <w:vAlign w:val="center"/>
          </w:tcPr>
          <w:p w14:paraId="13C3C3E1">
            <w:pPr>
              <w:jc w:val="center"/>
              <w:rPr>
                <w:rFonts w:hint="eastAsia"/>
                <w:color w:val="auto"/>
                <w:highlight w:val="none"/>
              </w:rPr>
            </w:pPr>
          </w:p>
        </w:tc>
        <w:tc>
          <w:tcPr>
            <w:tcW w:w="1298" w:type="dxa"/>
            <w:vMerge w:val="restart"/>
            <w:noWrap w:val="0"/>
            <w:vAlign w:val="center"/>
          </w:tcPr>
          <w:p w14:paraId="741A1C50">
            <w:pPr>
              <w:jc w:val="center"/>
              <w:rPr>
                <w:rFonts w:hint="eastAsia"/>
                <w:color w:val="auto"/>
                <w:highlight w:val="none"/>
              </w:rPr>
            </w:pPr>
            <w:r>
              <w:rPr>
                <w:rFonts w:hint="eastAsia"/>
                <w:color w:val="auto"/>
                <w:highlight w:val="none"/>
              </w:rPr>
              <w:t>照</w:t>
            </w:r>
          </w:p>
          <w:p w14:paraId="531EBCD9">
            <w:pPr>
              <w:jc w:val="center"/>
              <w:rPr>
                <w:rFonts w:hint="eastAsia"/>
                <w:color w:val="auto"/>
                <w:highlight w:val="none"/>
              </w:rPr>
            </w:pPr>
          </w:p>
          <w:p w14:paraId="7147199F">
            <w:pPr>
              <w:jc w:val="center"/>
              <w:rPr>
                <w:rFonts w:hint="eastAsia"/>
                <w:color w:val="auto"/>
                <w:highlight w:val="none"/>
              </w:rPr>
            </w:pPr>
            <w:r>
              <w:rPr>
                <w:rFonts w:hint="eastAsia"/>
                <w:color w:val="auto"/>
                <w:highlight w:val="none"/>
              </w:rPr>
              <w:t>片</w:t>
            </w:r>
          </w:p>
        </w:tc>
      </w:tr>
      <w:tr w14:paraId="7C4AC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898" w:type="dxa"/>
            <w:noWrap w:val="0"/>
            <w:vAlign w:val="center"/>
          </w:tcPr>
          <w:p w14:paraId="31012915">
            <w:pPr>
              <w:jc w:val="center"/>
              <w:rPr>
                <w:rFonts w:hint="eastAsia"/>
                <w:color w:val="auto"/>
                <w:highlight w:val="none"/>
              </w:rPr>
            </w:pPr>
            <w:r>
              <w:rPr>
                <w:rFonts w:hint="eastAsia"/>
                <w:color w:val="auto"/>
                <w:highlight w:val="none"/>
              </w:rPr>
              <w:t>民族</w:t>
            </w:r>
          </w:p>
        </w:tc>
        <w:tc>
          <w:tcPr>
            <w:tcW w:w="1214" w:type="dxa"/>
            <w:gridSpan w:val="4"/>
            <w:noWrap w:val="0"/>
            <w:vAlign w:val="center"/>
          </w:tcPr>
          <w:p w14:paraId="0F87AC34">
            <w:pPr>
              <w:jc w:val="center"/>
              <w:rPr>
                <w:rFonts w:hint="eastAsia"/>
                <w:color w:val="auto"/>
                <w:highlight w:val="none"/>
              </w:rPr>
            </w:pPr>
          </w:p>
        </w:tc>
        <w:tc>
          <w:tcPr>
            <w:tcW w:w="754" w:type="dxa"/>
            <w:gridSpan w:val="3"/>
            <w:noWrap w:val="0"/>
            <w:vAlign w:val="center"/>
          </w:tcPr>
          <w:p w14:paraId="003DE535">
            <w:pPr>
              <w:jc w:val="center"/>
              <w:rPr>
                <w:rFonts w:hint="eastAsia"/>
                <w:color w:val="auto"/>
                <w:highlight w:val="none"/>
              </w:rPr>
            </w:pPr>
            <w:r>
              <w:rPr>
                <w:rFonts w:hint="eastAsia"/>
                <w:color w:val="auto"/>
                <w:highlight w:val="none"/>
              </w:rPr>
              <w:t>籍贯</w:t>
            </w:r>
          </w:p>
        </w:tc>
        <w:tc>
          <w:tcPr>
            <w:tcW w:w="5498" w:type="dxa"/>
            <w:gridSpan w:val="17"/>
            <w:noWrap w:val="0"/>
            <w:vAlign w:val="center"/>
          </w:tcPr>
          <w:p w14:paraId="340F0F69">
            <w:pPr>
              <w:ind w:firstLine="1100" w:firstLineChars="500"/>
              <w:jc w:val="center"/>
              <w:rPr>
                <w:rFonts w:hint="eastAsia"/>
                <w:color w:val="auto"/>
                <w:highlight w:val="none"/>
              </w:rPr>
            </w:pPr>
            <w:r>
              <w:rPr>
                <w:rFonts w:hint="eastAsia"/>
                <w:color w:val="auto"/>
                <w:highlight w:val="none"/>
              </w:rPr>
              <w:t>省（市、区）      县（市）</w:t>
            </w:r>
          </w:p>
        </w:tc>
        <w:tc>
          <w:tcPr>
            <w:tcW w:w="1298" w:type="dxa"/>
            <w:vMerge w:val="continue"/>
            <w:noWrap w:val="0"/>
            <w:vAlign w:val="center"/>
          </w:tcPr>
          <w:p w14:paraId="0B8641E7">
            <w:pPr>
              <w:jc w:val="center"/>
              <w:rPr>
                <w:rFonts w:hint="eastAsia"/>
                <w:color w:val="auto"/>
                <w:highlight w:val="none"/>
              </w:rPr>
            </w:pPr>
          </w:p>
        </w:tc>
      </w:tr>
      <w:tr w14:paraId="3AE1C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91" w:type="dxa"/>
            <w:gridSpan w:val="2"/>
            <w:noWrap w:val="0"/>
            <w:vAlign w:val="center"/>
          </w:tcPr>
          <w:p w14:paraId="1F413F8A">
            <w:pPr>
              <w:spacing w:line="300" w:lineRule="exact"/>
              <w:jc w:val="center"/>
              <w:rPr>
                <w:rFonts w:hint="eastAsia"/>
                <w:color w:val="auto"/>
                <w:highlight w:val="none"/>
              </w:rPr>
            </w:pPr>
            <w:r>
              <w:rPr>
                <w:rFonts w:hint="eastAsia"/>
                <w:color w:val="auto"/>
                <w:highlight w:val="none"/>
              </w:rPr>
              <w:t>身份证号</w:t>
            </w:r>
          </w:p>
        </w:tc>
        <w:tc>
          <w:tcPr>
            <w:tcW w:w="388" w:type="dxa"/>
            <w:noWrap w:val="0"/>
            <w:vAlign w:val="center"/>
          </w:tcPr>
          <w:p w14:paraId="5FED460C">
            <w:pPr>
              <w:spacing w:line="300" w:lineRule="exact"/>
              <w:jc w:val="center"/>
              <w:rPr>
                <w:rFonts w:hint="eastAsia"/>
                <w:color w:val="auto"/>
                <w:highlight w:val="none"/>
              </w:rPr>
            </w:pPr>
          </w:p>
        </w:tc>
        <w:tc>
          <w:tcPr>
            <w:tcW w:w="390" w:type="dxa"/>
            <w:noWrap w:val="0"/>
            <w:vAlign w:val="center"/>
          </w:tcPr>
          <w:p w14:paraId="6E37B1E1">
            <w:pPr>
              <w:spacing w:line="300" w:lineRule="exact"/>
              <w:jc w:val="center"/>
              <w:rPr>
                <w:rFonts w:hint="eastAsia"/>
                <w:color w:val="auto"/>
                <w:highlight w:val="none"/>
              </w:rPr>
            </w:pPr>
          </w:p>
        </w:tc>
        <w:tc>
          <w:tcPr>
            <w:tcW w:w="375" w:type="dxa"/>
            <w:gridSpan w:val="2"/>
            <w:noWrap w:val="0"/>
            <w:vAlign w:val="center"/>
          </w:tcPr>
          <w:p w14:paraId="6C9B8B9C">
            <w:pPr>
              <w:spacing w:line="300" w:lineRule="exact"/>
              <w:jc w:val="center"/>
              <w:rPr>
                <w:rFonts w:hint="eastAsia"/>
                <w:color w:val="auto"/>
                <w:highlight w:val="none"/>
              </w:rPr>
            </w:pPr>
          </w:p>
        </w:tc>
        <w:tc>
          <w:tcPr>
            <w:tcW w:w="379" w:type="dxa"/>
            <w:noWrap w:val="0"/>
            <w:vAlign w:val="center"/>
          </w:tcPr>
          <w:p w14:paraId="7381321B">
            <w:pPr>
              <w:spacing w:line="300" w:lineRule="exact"/>
              <w:jc w:val="center"/>
              <w:rPr>
                <w:rFonts w:hint="eastAsia"/>
                <w:color w:val="auto"/>
                <w:highlight w:val="none"/>
              </w:rPr>
            </w:pPr>
          </w:p>
        </w:tc>
        <w:tc>
          <w:tcPr>
            <w:tcW w:w="381" w:type="dxa"/>
            <w:gridSpan w:val="2"/>
            <w:noWrap w:val="0"/>
            <w:vAlign w:val="center"/>
          </w:tcPr>
          <w:p w14:paraId="222C02E1">
            <w:pPr>
              <w:spacing w:line="300" w:lineRule="exact"/>
              <w:jc w:val="center"/>
              <w:rPr>
                <w:rFonts w:hint="eastAsia"/>
                <w:color w:val="auto"/>
                <w:highlight w:val="none"/>
              </w:rPr>
            </w:pPr>
          </w:p>
        </w:tc>
        <w:tc>
          <w:tcPr>
            <w:tcW w:w="378" w:type="dxa"/>
            <w:gridSpan w:val="2"/>
            <w:noWrap w:val="0"/>
            <w:vAlign w:val="center"/>
          </w:tcPr>
          <w:p w14:paraId="2678C808">
            <w:pPr>
              <w:spacing w:line="300" w:lineRule="exact"/>
              <w:jc w:val="center"/>
              <w:rPr>
                <w:rFonts w:hint="eastAsia"/>
                <w:color w:val="auto"/>
                <w:highlight w:val="none"/>
              </w:rPr>
            </w:pPr>
          </w:p>
        </w:tc>
        <w:tc>
          <w:tcPr>
            <w:tcW w:w="429" w:type="dxa"/>
            <w:noWrap w:val="0"/>
            <w:vAlign w:val="center"/>
          </w:tcPr>
          <w:p w14:paraId="5A5963AE">
            <w:pPr>
              <w:spacing w:line="300" w:lineRule="exact"/>
              <w:jc w:val="center"/>
              <w:rPr>
                <w:rFonts w:hint="eastAsia"/>
                <w:color w:val="auto"/>
                <w:highlight w:val="none"/>
              </w:rPr>
            </w:pPr>
          </w:p>
        </w:tc>
        <w:tc>
          <w:tcPr>
            <w:tcW w:w="381" w:type="dxa"/>
            <w:noWrap w:val="0"/>
            <w:vAlign w:val="center"/>
          </w:tcPr>
          <w:p w14:paraId="1A445CC1">
            <w:pPr>
              <w:spacing w:line="300" w:lineRule="exact"/>
              <w:jc w:val="center"/>
              <w:rPr>
                <w:rFonts w:hint="eastAsia"/>
                <w:color w:val="auto"/>
                <w:highlight w:val="none"/>
              </w:rPr>
            </w:pPr>
          </w:p>
        </w:tc>
        <w:tc>
          <w:tcPr>
            <w:tcW w:w="470" w:type="dxa"/>
            <w:noWrap w:val="0"/>
            <w:vAlign w:val="center"/>
          </w:tcPr>
          <w:p w14:paraId="1D449368">
            <w:pPr>
              <w:spacing w:line="300" w:lineRule="exact"/>
              <w:jc w:val="center"/>
              <w:rPr>
                <w:rFonts w:hint="eastAsia"/>
                <w:color w:val="auto"/>
                <w:highlight w:val="none"/>
              </w:rPr>
            </w:pPr>
          </w:p>
        </w:tc>
        <w:tc>
          <w:tcPr>
            <w:tcW w:w="386" w:type="dxa"/>
            <w:noWrap w:val="0"/>
            <w:vAlign w:val="center"/>
          </w:tcPr>
          <w:p w14:paraId="0D4560BF">
            <w:pPr>
              <w:spacing w:line="300" w:lineRule="exact"/>
              <w:jc w:val="center"/>
              <w:rPr>
                <w:rFonts w:hint="eastAsia"/>
                <w:color w:val="auto"/>
                <w:highlight w:val="none"/>
              </w:rPr>
            </w:pPr>
          </w:p>
        </w:tc>
        <w:tc>
          <w:tcPr>
            <w:tcW w:w="381" w:type="dxa"/>
            <w:noWrap w:val="0"/>
            <w:vAlign w:val="center"/>
          </w:tcPr>
          <w:p w14:paraId="54D6A5C3">
            <w:pPr>
              <w:spacing w:line="300" w:lineRule="exact"/>
              <w:jc w:val="center"/>
              <w:rPr>
                <w:rFonts w:hint="eastAsia"/>
                <w:color w:val="auto"/>
                <w:highlight w:val="none"/>
              </w:rPr>
            </w:pPr>
          </w:p>
        </w:tc>
        <w:tc>
          <w:tcPr>
            <w:tcW w:w="398" w:type="dxa"/>
            <w:noWrap w:val="0"/>
            <w:vAlign w:val="center"/>
          </w:tcPr>
          <w:p w14:paraId="64E4ACD1">
            <w:pPr>
              <w:spacing w:line="300" w:lineRule="exact"/>
              <w:jc w:val="center"/>
              <w:rPr>
                <w:rFonts w:hint="eastAsia"/>
                <w:color w:val="auto"/>
                <w:highlight w:val="none"/>
              </w:rPr>
            </w:pPr>
          </w:p>
        </w:tc>
        <w:tc>
          <w:tcPr>
            <w:tcW w:w="381" w:type="dxa"/>
            <w:gridSpan w:val="2"/>
            <w:noWrap w:val="0"/>
            <w:vAlign w:val="center"/>
          </w:tcPr>
          <w:p w14:paraId="2B099551">
            <w:pPr>
              <w:spacing w:line="300" w:lineRule="exact"/>
              <w:jc w:val="center"/>
              <w:rPr>
                <w:rFonts w:hint="eastAsia"/>
                <w:color w:val="auto"/>
                <w:highlight w:val="none"/>
              </w:rPr>
            </w:pPr>
          </w:p>
        </w:tc>
        <w:tc>
          <w:tcPr>
            <w:tcW w:w="381" w:type="dxa"/>
            <w:noWrap w:val="0"/>
            <w:vAlign w:val="center"/>
          </w:tcPr>
          <w:p w14:paraId="37B8E29F">
            <w:pPr>
              <w:spacing w:line="300" w:lineRule="exact"/>
              <w:jc w:val="center"/>
              <w:rPr>
                <w:rFonts w:hint="eastAsia"/>
                <w:color w:val="auto"/>
                <w:highlight w:val="none"/>
              </w:rPr>
            </w:pPr>
          </w:p>
        </w:tc>
        <w:tc>
          <w:tcPr>
            <w:tcW w:w="389" w:type="dxa"/>
            <w:gridSpan w:val="2"/>
            <w:noWrap w:val="0"/>
            <w:vAlign w:val="center"/>
          </w:tcPr>
          <w:p w14:paraId="0E85F70C">
            <w:pPr>
              <w:spacing w:line="300" w:lineRule="exact"/>
              <w:jc w:val="center"/>
              <w:rPr>
                <w:rFonts w:hint="eastAsia"/>
                <w:color w:val="auto"/>
                <w:highlight w:val="none"/>
              </w:rPr>
            </w:pPr>
          </w:p>
        </w:tc>
        <w:tc>
          <w:tcPr>
            <w:tcW w:w="371" w:type="dxa"/>
            <w:noWrap w:val="0"/>
            <w:vAlign w:val="center"/>
          </w:tcPr>
          <w:p w14:paraId="398787FA">
            <w:pPr>
              <w:spacing w:line="300" w:lineRule="exact"/>
              <w:jc w:val="center"/>
              <w:rPr>
                <w:rFonts w:hint="eastAsia"/>
                <w:color w:val="auto"/>
                <w:highlight w:val="none"/>
              </w:rPr>
            </w:pPr>
          </w:p>
        </w:tc>
        <w:tc>
          <w:tcPr>
            <w:tcW w:w="383" w:type="dxa"/>
            <w:noWrap w:val="0"/>
            <w:vAlign w:val="center"/>
          </w:tcPr>
          <w:p w14:paraId="4ED1FCAA">
            <w:pPr>
              <w:spacing w:line="300" w:lineRule="exact"/>
              <w:jc w:val="center"/>
              <w:rPr>
                <w:rFonts w:hint="eastAsia"/>
                <w:color w:val="auto"/>
                <w:highlight w:val="none"/>
              </w:rPr>
            </w:pPr>
          </w:p>
        </w:tc>
        <w:tc>
          <w:tcPr>
            <w:tcW w:w="432" w:type="dxa"/>
            <w:noWrap w:val="0"/>
            <w:vAlign w:val="center"/>
          </w:tcPr>
          <w:p w14:paraId="651F8B3C">
            <w:pPr>
              <w:spacing w:line="300" w:lineRule="exact"/>
              <w:jc w:val="center"/>
              <w:rPr>
                <w:rFonts w:hint="eastAsia"/>
                <w:color w:val="auto"/>
                <w:highlight w:val="none"/>
              </w:rPr>
            </w:pPr>
          </w:p>
        </w:tc>
        <w:tc>
          <w:tcPr>
            <w:tcW w:w="1298" w:type="dxa"/>
            <w:vMerge w:val="continue"/>
            <w:noWrap w:val="0"/>
            <w:vAlign w:val="center"/>
          </w:tcPr>
          <w:p w14:paraId="21D03500">
            <w:pPr>
              <w:jc w:val="center"/>
              <w:rPr>
                <w:rFonts w:hint="eastAsia"/>
                <w:color w:val="auto"/>
                <w:highlight w:val="none"/>
              </w:rPr>
            </w:pPr>
          </w:p>
        </w:tc>
      </w:tr>
      <w:tr w14:paraId="7E66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4" w:hRule="atLeast"/>
        </w:trPr>
        <w:tc>
          <w:tcPr>
            <w:tcW w:w="9662" w:type="dxa"/>
            <w:gridSpan w:val="26"/>
            <w:noWrap w:val="0"/>
            <w:vAlign w:val="top"/>
          </w:tcPr>
          <w:p w14:paraId="64F916BC">
            <w:pPr>
              <w:rPr>
                <w:rFonts w:hint="eastAsia"/>
                <w:color w:val="auto"/>
                <w:highlight w:val="none"/>
              </w:rPr>
            </w:pPr>
            <w:r>
              <w:rPr>
                <w:rFonts w:hint="eastAsia"/>
                <w:color w:val="auto"/>
                <w:highlight w:val="none"/>
              </w:rPr>
              <w:t>科研认知报告（不够可另加页）</w:t>
            </w:r>
          </w:p>
          <w:p w14:paraId="0D9C56A8">
            <w:pPr>
              <w:rPr>
                <w:color w:val="auto"/>
                <w:highlight w:val="none"/>
              </w:rPr>
            </w:pPr>
          </w:p>
          <w:p w14:paraId="08151A77">
            <w:pPr>
              <w:rPr>
                <w:color w:val="auto"/>
                <w:highlight w:val="none"/>
              </w:rPr>
            </w:pPr>
          </w:p>
          <w:p w14:paraId="0DECA51F">
            <w:pPr>
              <w:rPr>
                <w:color w:val="auto"/>
                <w:highlight w:val="none"/>
              </w:rPr>
            </w:pPr>
          </w:p>
          <w:p w14:paraId="78F564BB">
            <w:pPr>
              <w:rPr>
                <w:color w:val="auto"/>
                <w:highlight w:val="none"/>
              </w:rPr>
            </w:pPr>
          </w:p>
          <w:p w14:paraId="5524BFC6">
            <w:pPr>
              <w:rPr>
                <w:color w:val="auto"/>
                <w:highlight w:val="none"/>
              </w:rPr>
            </w:pPr>
          </w:p>
          <w:p w14:paraId="6D15A69C">
            <w:pPr>
              <w:rPr>
                <w:color w:val="auto"/>
                <w:highlight w:val="none"/>
              </w:rPr>
            </w:pPr>
          </w:p>
          <w:p w14:paraId="3ACC00DB">
            <w:pPr>
              <w:rPr>
                <w:color w:val="auto"/>
                <w:highlight w:val="none"/>
              </w:rPr>
            </w:pPr>
          </w:p>
          <w:p w14:paraId="34CBA960">
            <w:pPr>
              <w:rPr>
                <w:color w:val="auto"/>
                <w:highlight w:val="none"/>
              </w:rPr>
            </w:pPr>
          </w:p>
          <w:p w14:paraId="6DE58F61">
            <w:pPr>
              <w:rPr>
                <w:color w:val="auto"/>
                <w:highlight w:val="none"/>
              </w:rPr>
            </w:pPr>
          </w:p>
          <w:p w14:paraId="697FD258">
            <w:pPr>
              <w:rPr>
                <w:color w:val="auto"/>
                <w:highlight w:val="none"/>
              </w:rPr>
            </w:pPr>
          </w:p>
          <w:p w14:paraId="100D93DB">
            <w:pPr>
              <w:rPr>
                <w:color w:val="auto"/>
                <w:highlight w:val="none"/>
              </w:rPr>
            </w:pPr>
          </w:p>
          <w:p w14:paraId="45E99DFA">
            <w:pPr>
              <w:rPr>
                <w:color w:val="auto"/>
                <w:highlight w:val="none"/>
              </w:rPr>
            </w:pPr>
          </w:p>
          <w:p w14:paraId="57C2088D">
            <w:pPr>
              <w:rPr>
                <w:color w:val="auto"/>
                <w:highlight w:val="none"/>
              </w:rPr>
            </w:pPr>
          </w:p>
          <w:p w14:paraId="15FA46C0">
            <w:pPr>
              <w:rPr>
                <w:color w:val="auto"/>
                <w:highlight w:val="none"/>
              </w:rPr>
            </w:pPr>
          </w:p>
          <w:p w14:paraId="36E3F688">
            <w:pPr>
              <w:rPr>
                <w:color w:val="auto"/>
                <w:highlight w:val="none"/>
              </w:rPr>
            </w:pPr>
          </w:p>
          <w:p w14:paraId="1C528A96">
            <w:pPr>
              <w:rPr>
                <w:color w:val="auto"/>
                <w:highlight w:val="none"/>
              </w:rPr>
            </w:pPr>
          </w:p>
          <w:p w14:paraId="6D196FB8">
            <w:pPr>
              <w:rPr>
                <w:color w:val="auto"/>
                <w:highlight w:val="none"/>
              </w:rPr>
            </w:pPr>
          </w:p>
          <w:p w14:paraId="6085EBDA">
            <w:pPr>
              <w:rPr>
                <w:color w:val="auto"/>
                <w:highlight w:val="none"/>
              </w:rPr>
            </w:pPr>
          </w:p>
          <w:p w14:paraId="70782F40">
            <w:pPr>
              <w:rPr>
                <w:color w:val="auto"/>
                <w:highlight w:val="none"/>
              </w:rPr>
            </w:pPr>
          </w:p>
          <w:p w14:paraId="451978F0">
            <w:pPr>
              <w:rPr>
                <w:color w:val="auto"/>
                <w:highlight w:val="none"/>
              </w:rPr>
            </w:pPr>
          </w:p>
          <w:p w14:paraId="1D252E20">
            <w:pPr>
              <w:rPr>
                <w:color w:val="auto"/>
                <w:highlight w:val="none"/>
              </w:rPr>
            </w:pPr>
          </w:p>
          <w:p w14:paraId="779F8AB5">
            <w:pPr>
              <w:rPr>
                <w:color w:val="auto"/>
                <w:highlight w:val="none"/>
              </w:rPr>
            </w:pPr>
          </w:p>
          <w:p w14:paraId="1D6EB004">
            <w:pPr>
              <w:rPr>
                <w:color w:val="auto"/>
                <w:highlight w:val="none"/>
              </w:rPr>
            </w:pPr>
          </w:p>
          <w:p w14:paraId="32B8C7D8">
            <w:pPr>
              <w:rPr>
                <w:color w:val="auto"/>
                <w:highlight w:val="none"/>
              </w:rPr>
            </w:pPr>
          </w:p>
          <w:p w14:paraId="02F81AAC">
            <w:pPr>
              <w:rPr>
                <w:rFonts w:hint="eastAsia"/>
                <w:color w:val="auto"/>
                <w:highlight w:val="none"/>
              </w:rPr>
            </w:pPr>
          </w:p>
          <w:p w14:paraId="00B61D89">
            <w:pPr>
              <w:rPr>
                <w:color w:val="auto"/>
                <w:highlight w:val="none"/>
              </w:rPr>
            </w:pPr>
          </w:p>
          <w:p w14:paraId="4B423064">
            <w:pPr>
              <w:rPr>
                <w:rFonts w:hint="eastAsia"/>
                <w:color w:val="auto"/>
                <w:highlight w:val="none"/>
              </w:rPr>
            </w:pPr>
          </w:p>
        </w:tc>
      </w:tr>
    </w:tbl>
    <w:p w14:paraId="4F2B0FA5">
      <w:pPr>
        <w:spacing w:line="560" w:lineRule="exact"/>
        <w:ind w:firstLine="640" w:firstLineChars="200"/>
        <w:jc w:val="both"/>
        <w:rPr>
          <w:rFonts w:ascii="Times New Roman" w:hAnsi="Times New Roman" w:eastAsia="仿宋" w:cs="Times New Roman"/>
          <w:color w:val="auto"/>
          <w:kern w:val="52"/>
          <w:sz w:val="32"/>
          <w:szCs w:val="32"/>
          <w:highlight w:val="none"/>
          <w:lang w:eastAsia="zh-CN"/>
        </w:rPr>
      </w:pPr>
    </w:p>
    <w:sectPr>
      <w:footerReference r:id="rId4" w:type="default"/>
      <w:pgSz w:w="11910" w:h="16840"/>
      <w:pgMar w:top="2098" w:right="1588" w:bottom="1984" w:left="1588" w:header="720" w:footer="1020" w:gutter="0"/>
      <w:pgNumType w:fmt="decimal" w:start="10"/>
      <w:cols w:space="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8803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CB70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ECB70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AA4CA">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7475"/>
                            <w:docPartObj>
                              <w:docPartGallery w:val="autotext"/>
                            </w:docPartObj>
                          </w:sdtPr>
                          <w:sdtContent>
                            <w:p w14:paraId="735BFCF7">
                              <w:pPr>
                                <w:pStyle w:val="7"/>
                                <w:jc w:val="center"/>
                              </w:pPr>
                              <w:r>
                                <w:fldChar w:fldCharType="begin"/>
                              </w:r>
                              <w:r>
                                <w:instrText xml:space="preserve">PAGE   \* MERGEFORMAT</w:instrText>
                              </w:r>
                              <w:r>
                                <w:fldChar w:fldCharType="separate"/>
                              </w:r>
                              <w:r>
                                <w:rPr>
                                  <w:lang w:val="zh-CN" w:eastAsia="zh-CN"/>
                                </w:rPr>
                                <w:t>2</w:t>
                              </w:r>
                              <w:r>
                                <w:fldChar w:fldCharType="end"/>
                              </w:r>
                            </w:p>
                          </w:sdtContent>
                        </w:sdt>
                        <w:p w14:paraId="1699447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57475"/>
                      <w:docPartObj>
                        <w:docPartGallery w:val="autotext"/>
                      </w:docPartObj>
                    </w:sdtPr>
                    <w:sdtContent>
                      <w:p w14:paraId="735BFCF7">
                        <w:pPr>
                          <w:pStyle w:val="7"/>
                          <w:jc w:val="center"/>
                        </w:pPr>
                        <w:r>
                          <w:fldChar w:fldCharType="begin"/>
                        </w:r>
                        <w:r>
                          <w:instrText xml:space="preserve">PAGE   \* MERGEFORMAT</w:instrText>
                        </w:r>
                        <w:r>
                          <w:fldChar w:fldCharType="separate"/>
                        </w:r>
                        <w:r>
                          <w:rPr>
                            <w:lang w:val="zh-CN" w:eastAsia="zh-CN"/>
                          </w:rPr>
                          <w:t>2</w:t>
                        </w:r>
                        <w:r>
                          <w:fldChar w:fldCharType="end"/>
                        </w:r>
                      </w:p>
                    </w:sdtContent>
                  </w:sdt>
                  <w:p w14:paraId="1699447F"/>
                </w:txbxContent>
              </v:textbox>
            </v:shape>
          </w:pict>
        </mc:Fallback>
      </mc:AlternateContent>
    </w:r>
  </w:p>
  <w:p w14:paraId="3560D5FD">
    <w:pPr>
      <w:pStyle w:val="7"/>
      <w:ind w:left="4153" w:hanging="415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2Njg0NzIyZTAzMjIwOWU5NjQ0NzlmNjllYmY1MTgifQ=="/>
  </w:docVars>
  <w:rsids>
    <w:rsidRoot w:val="008A4572"/>
    <w:rsid w:val="00040953"/>
    <w:rsid w:val="000926FC"/>
    <w:rsid w:val="00092A79"/>
    <w:rsid w:val="000E0A69"/>
    <w:rsid w:val="000E1819"/>
    <w:rsid w:val="00107363"/>
    <w:rsid w:val="00141C3D"/>
    <w:rsid w:val="00161F00"/>
    <w:rsid w:val="001808FE"/>
    <w:rsid w:val="002122BB"/>
    <w:rsid w:val="0023660B"/>
    <w:rsid w:val="00240A85"/>
    <w:rsid w:val="00275DF5"/>
    <w:rsid w:val="002B7CAA"/>
    <w:rsid w:val="002C79F9"/>
    <w:rsid w:val="00310787"/>
    <w:rsid w:val="003171AD"/>
    <w:rsid w:val="00330B11"/>
    <w:rsid w:val="00357CE9"/>
    <w:rsid w:val="003841EC"/>
    <w:rsid w:val="0039525D"/>
    <w:rsid w:val="003C126D"/>
    <w:rsid w:val="003D2BC0"/>
    <w:rsid w:val="003D4F3B"/>
    <w:rsid w:val="00400C80"/>
    <w:rsid w:val="00417A32"/>
    <w:rsid w:val="00427A54"/>
    <w:rsid w:val="00436FBC"/>
    <w:rsid w:val="004443CE"/>
    <w:rsid w:val="00456091"/>
    <w:rsid w:val="004740B7"/>
    <w:rsid w:val="00527548"/>
    <w:rsid w:val="005661EC"/>
    <w:rsid w:val="005B35BD"/>
    <w:rsid w:val="005C4DCF"/>
    <w:rsid w:val="00615FF2"/>
    <w:rsid w:val="00654717"/>
    <w:rsid w:val="006607A4"/>
    <w:rsid w:val="006637FA"/>
    <w:rsid w:val="006751E8"/>
    <w:rsid w:val="00697744"/>
    <w:rsid w:val="006C1094"/>
    <w:rsid w:val="006E5CD5"/>
    <w:rsid w:val="006F1BA1"/>
    <w:rsid w:val="00784EA0"/>
    <w:rsid w:val="007B195E"/>
    <w:rsid w:val="007C2B5D"/>
    <w:rsid w:val="007F2732"/>
    <w:rsid w:val="007F5E34"/>
    <w:rsid w:val="008018EE"/>
    <w:rsid w:val="008257D7"/>
    <w:rsid w:val="00836AC0"/>
    <w:rsid w:val="00857410"/>
    <w:rsid w:val="00871B3A"/>
    <w:rsid w:val="008A4572"/>
    <w:rsid w:val="009504DF"/>
    <w:rsid w:val="009D0AC5"/>
    <w:rsid w:val="00A12B6B"/>
    <w:rsid w:val="00A23B65"/>
    <w:rsid w:val="00A442E1"/>
    <w:rsid w:val="00A64548"/>
    <w:rsid w:val="00A92F86"/>
    <w:rsid w:val="00AC4E40"/>
    <w:rsid w:val="00B214DD"/>
    <w:rsid w:val="00B81128"/>
    <w:rsid w:val="00BC4686"/>
    <w:rsid w:val="00C20F9E"/>
    <w:rsid w:val="00C446CB"/>
    <w:rsid w:val="00C52F31"/>
    <w:rsid w:val="00C536AF"/>
    <w:rsid w:val="00C66840"/>
    <w:rsid w:val="00C748F6"/>
    <w:rsid w:val="00C94F4F"/>
    <w:rsid w:val="00CA0122"/>
    <w:rsid w:val="00CA7E1E"/>
    <w:rsid w:val="00CD3184"/>
    <w:rsid w:val="00CD554F"/>
    <w:rsid w:val="00D00CB8"/>
    <w:rsid w:val="00D177E0"/>
    <w:rsid w:val="00D724DF"/>
    <w:rsid w:val="00DA1288"/>
    <w:rsid w:val="00DA47EB"/>
    <w:rsid w:val="00DC47A7"/>
    <w:rsid w:val="00DD60F9"/>
    <w:rsid w:val="00DE5AD6"/>
    <w:rsid w:val="00E04348"/>
    <w:rsid w:val="00E16954"/>
    <w:rsid w:val="00EB244E"/>
    <w:rsid w:val="00F36009"/>
    <w:rsid w:val="00F43D89"/>
    <w:rsid w:val="00F62BD1"/>
    <w:rsid w:val="00F82189"/>
    <w:rsid w:val="00FE1257"/>
    <w:rsid w:val="02261E35"/>
    <w:rsid w:val="061635C3"/>
    <w:rsid w:val="065C0B2C"/>
    <w:rsid w:val="073E1897"/>
    <w:rsid w:val="0B662001"/>
    <w:rsid w:val="12240A53"/>
    <w:rsid w:val="125C08F0"/>
    <w:rsid w:val="14476AF6"/>
    <w:rsid w:val="1772474C"/>
    <w:rsid w:val="1EE5412E"/>
    <w:rsid w:val="207625C6"/>
    <w:rsid w:val="22ED1547"/>
    <w:rsid w:val="23615763"/>
    <w:rsid w:val="241C4BA6"/>
    <w:rsid w:val="275D3C63"/>
    <w:rsid w:val="2C47006A"/>
    <w:rsid w:val="2CD93AE7"/>
    <w:rsid w:val="2E2509F5"/>
    <w:rsid w:val="30ED37B0"/>
    <w:rsid w:val="377171B5"/>
    <w:rsid w:val="3A17311D"/>
    <w:rsid w:val="3AE7080E"/>
    <w:rsid w:val="40836460"/>
    <w:rsid w:val="40A91FDA"/>
    <w:rsid w:val="4C3733E4"/>
    <w:rsid w:val="4C7B743B"/>
    <w:rsid w:val="51971C51"/>
    <w:rsid w:val="60A84563"/>
    <w:rsid w:val="61AC5694"/>
    <w:rsid w:val="65051FBC"/>
    <w:rsid w:val="686C60ED"/>
    <w:rsid w:val="705648FA"/>
    <w:rsid w:val="70FA3646"/>
    <w:rsid w:val="718633B6"/>
    <w:rsid w:val="73C75C18"/>
    <w:rsid w:val="73DA194A"/>
    <w:rsid w:val="767C19B2"/>
    <w:rsid w:val="7B6000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spacing w:before="100" w:beforeAutospacing="1" w:after="100" w:afterAutospacing="1"/>
      <w:outlineLvl w:val="0"/>
    </w:pPr>
    <w:rPr>
      <w:rFonts w:hint="eastAsia" w:ascii="宋体" w:hAnsi="宋体"/>
      <w:b/>
      <w:kern w:val="44"/>
      <w:sz w:val="48"/>
      <w:szCs w:val="4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7"/>
    <w:qFormat/>
    <w:uiPriority w:val="0"/>
  </w:style>
  <w:style w:type="paragraph" w:styleId="4">
    <w:name w:val="Body Text"/>
    <w:basedOn w:val="1"/>
    <w:qFormat/>
    <w:uiPriority w:val="1"/>
    <w:pPr>
      <w:spacing w:before="205"/>
    </w:pPr>
    <w:rPr>
      <w:rFonts w:ascii="黑体" w:hAnsi="黑体" w:eastAsia="黑体"/>
      <w:sz w:val="32"/>
      <w:szCs w:val="32"/>
    </w:rPr>
  </w:style>
  <w:style w:type="paragraph" w:styleId="5">
    <w:name w:val="Plain Text"/>
    <w:basedOn w:val="1"/>
    <w:link w:val="21"/>
    <w:qFormat/>
    <w:uiPriority w:val="0"/>
    <w:pPr>
      <w:jc w:val="both"/>
    </w:pPr>
    <w:rPr>
      <w:rFonts w:ascii="宋体" w:hAnsi="Courier New" w:eastAsia="宋体" w:cs="Courier New"/>
      <w:kern w:val="2"/>
      <w:sz w:val="21"/>
      <w:szCs w:val="21"/>
      <w:lang w:eastAsia="zh-CN"/>
    </w:rPr>
  </w:style>
  <w:style w:type="paragraph" w:styleId="6">
    <w:name w:val="Balloon Text"/>
    <w:basedOn w:val="1"/>
    <w:link w:val="35"/>
    <w:qFormat/>
    <w:uiPriority w:val="0"/>
    <w:rPr>
      <w:sz w:val="18"/>
      <w:szCs w:val="18"/>
    </w:rPr>
  </w:style>
  <w:style w:type="paragraph" w:styleId="7">
    <w:name w:val="footer"/>
    <w:basedOn w:val="1"/>
    <w:link w:val="20"/>
    <w:qFormat/>
    <w:uiPriority w:val="99"/>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rPr>
      <w:sz w:val="24"/>
    </w:rPr>
  </w:style>
  <w:style w:type="paragraph" w:styleId="10">
    <w:name w:val="annotation subject"/>
    <w:basedOn w:val="3"/>
    <w:next w:val="3"/>
    <w:link w:val="38"/>
    <w:qFormat/>
    <w:uiPriority w:val="0"/>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style>
  <w:style w:type="paragraph" w:customStyle="1" w:styleId="18">
    <w:name w:val="Table Paragraph"/>
    <w:basedOn w:val="1"/>
    <w:qFormat/>
    <w:uiPriority w:val="1"/>
  </w:style>
  <w:style w:type="character" w:customStyle="1" w:styleId="19">
    <w:name w:val="页眉 字符"/>
    <w:basedOn w:val="13"/>
    <w:link w:val="8"/>
    <w:qFormat/>
    <w:uiPriority w:val="0"/>
    <w:rPr>
      <w:rFonts w:asciiTheme="minorHAnsi" w:hAnsiTheme="minorHAnsi" w:eastAsiaTheme="minorHAnsi" w:cstheme="minorBidi"/>
      <w:sz w:val="18"/>
      <w:szCs w:val="18"/>
      <w:lang w:eastAsia="en-US"/>
    </w:rPr>
  </w:style>
  <w:style w:type="character" w:customStyle="1" w:styleId="20">
    <w:name w:val="页脚 字符"/>
    <w:basedOn w:val="13"/>
    <w:link w:val="7"/>
    <w:qFormat/>
    <w:uiPriority w:val="99"/>
    <w:rPr>
      <w:rFonts w:asciiTheme="minorHAnsi" w:hAnsiTheme="minorHAnsi" w:eastAsiaTheme="minorHAnsi" w:cstheme="minorBidi"/>
      <w:sz w:val="18"/>
      <w:szCs w:val="18"/>
      <w:lang w:eastAsia="en-US"/>
    </w:rPr>
  </w:style>
  <w:style w:type="character" w:customStyle="1" w:styleId="21">
    <w:name w:val="纯文本 字符"/>
    <w:basedOn w:val="13"/>
    <w:link w:val="5"/>
    <w:qFormat/>
    <w:uiPriority w:val="0"/>
    <w:rPr>
      <w:rFonts w:ascii="宋体" w:hAnsi="Courier New" w:cs="Courier New"/>
      <w:kern w:val="2"/>
      <w:sz w:val="21"/>
      <w:szCs w:val="21"/>
    </w:rPr>
  </w:style>
  <w:style w:type="paragraph" w:customStyle="1" w:styleId="22">
    <w:name w:val="p3"/>
    <w:basedOn w:val="1"/>
    <w:qFormat/>
    <w:uiPriority w:val="0"/>
    <w:pPr>
      <w:widowControl/>
      <w:spacing w:before="100" w:beforeAutospacing="1" w:after="100" w:afterAutospacing="1"/>
    </w:pPr>
    <w:rPr>
      <w:rFonts w:ascii="宋体" w:hAnsi="宋体" w:eastAsia="宋体" w:cs="宋体"/>
      <w:sz w:val="24"/>
      <w:szCs w:val="24"/>
      <w:lang w:eastAsia="zh-CN"/>
    </w:rPr>
  </w:style>
  <w:style w:type="character" w:customStyle="1" w:styleId="23">
    <w:name w:val="s1"/>
    <w:basedOn w:val="13"/>
    <w:qFormat/>
    <w:uiPriority w:val="0"/>
  </w:style>
  <w:style w:type="paragraph" w:customStyle="1" w:styleId="24">
    <w:name w:val="p7"/>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5">
    <w:name w:val="p9"/>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6">
    <w:name w:val="p10"/>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7">
    <w:name w:val="p12"/>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8">
    <w:name w:val="p13"/>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29">
    <w:name w:val="p5"/>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30">
    <w:name w:val="p6"/>
    <w:basedOn w:val="1"/>
    <w:qFormat/>
    <w:uiPriority w:val="0"/>
    <w:pPr>
      <w:widowControl/>
      <w:spacing w:before="100" w:beforeAutospacing="1" w:after="100" w:afterAutospacing="1"/>
    </w:pPr>
    <w:rPr>
      <w:rFonts w:ascii="宋体" w:hAnsi="宋体" w:eastAsia="宋体" w:cs="宋体"/>
      <w:sz w:val="24"/>
      <w:szCs w:val="24"/>
      <w:lang w:eastAsia="zh-CN"/>
    </w:rPr>
  </w:style>
  <w:style w:type="character" w:customStyle="1" w:styleId="31">
    <w:name w:val="s2"/>
    <w:basedOn w:val="13"/>
    <w:qFormat/>
    <w:uiPriority w:val="0"/>
  </w:style>
  <w:style w:type="character" w:customStyle="1" w:styleId="32">
    <w:name w:val="s3"/>
    <w:basedOn w:val="13"/>
    <w:qFormat/>
    <w:uiPriority w:val="0"/>
  </w:style>
  <w:style w:type="paragraph" w:customStyle="1" w:styleId="33">
    <w:name w:val="p14"/>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customStyle="1" w:styleId="34">
    <w:name w:val="p15"/>
    <w:basedOn w:val="1"/>
    <w:qFormat/>
    <w:uiPriority w:val="0"/>
    <w:pPr>
      <w:widowControl/>
      <w:spacing w:before="100" w:beforeAutospacing="1" w:after="100" w:afterAutospacing="1"/>
    </w:pPr>
    <w:rPr>
      <w:rFonts w:ascii="宋体" w:hAnsi="宋体" w:eastAsia="宋体" w:cs="宋体"/>
      <w:sz w:val="24"/>
      <w:szCs w:val="24"/>
      <w:lang w:eastAsia="zh-CN"/>
    </w:rPr>
  </w:style>
  <w:style w:type="character" w:customStyle="1" w:styleId="35">
    <w:name w:val="批注框文本 字符"/>
    <w:basedOn w:val="13"/>
    <w:link w:val="6"/>
    <w:qFormat/>
    <w:uiPriority w:val="0"/>
    <w:rPr>
      <w:rFonts w:asciiTheme="minorHAnsi" w:hAnsiTheme="minorHAnsi" w:eastAsiaTheme="minorHAnsi" w:cstheme="minorBidi"/>
      <w:sz w:val="18"/>
      <w:szCs w:val="18"/>
      <w:lang w:eastAsia="en-US"/>
    </w:rPr>
  </w:style>
  <w:style w:type="paragraph" w:customStyle="1" w:styleId="36">
    <w:name w:val="Default"/>
    <w:qFormat/>
    <w:uiPriority w:val="0"/>
    <w:pPr>
      <w:widowControl w:val="0"/>
      <w:autoSpaceDE w:val="0"/>
      <w:autoSpaceDN w:val="0"/>
      <w:adjustRightInd w:val="0"/>
    </w:pPr>
    <w:rPr>
      <w:rFonts w:ascii="方正小标宋简体" w:hAnsi="方正小标宋简体" w:eastAsia="宋体" w:cs="方正小标宋简体"/>
      <w:color w:val="000000"/>
      <w:sz w:val="24"/>
      <w:szCs w:val="24"/>
      <w:lang w:val="en-US" w:eastAsia="zh-CN" w:bidi="ar-SA"/>
    </w:rPr>
  </w:style>
  <w:style w:type="character" w:customStyle="1" w:styleId="37">
    <w:name w:val="批注文字 字符"/>
    <w:basedOn w:val="13"/>
    <w:link w:val="3"/>
    <w:qFormat/>
    <w:uiPriority w:val="0"/>
    <w:rPr>
      <w:rFonts w:asciiTheme="minorHAnsi" w:hAnsiTheme="minorHAnsi" w:eastAsiaTheme="minorHAnsi" w:cstheme="minorBidi"/>
      <w:sz w:val="22"/>
      <w:szCs w:val="22"/>
      <w:lang w:eastAsia="en-US"/>
    </w:rPr>
  </w:style>
  <w:style w:type="character" w:customStyle="1" w:styleId="38">
    <w:name w:val="批注主题 字符"/>
    <w:basedOn w:val="37"/>
    <w:link w:val="10"/>
    <w:qFormat/>
    <w:uiPriority w:val="0"/>
    <w:rPr>
      <w:rFonts w:asciiTheme="minorHAnsi" w:hAnsiTheme="minorHAnsi" w:eastAsiaTheme="minorHAnsi" w:cstheme="minorBidi"/>
      <w:b/>
      <w:bCs/>
      <w:sz w:val="22"/>
      <w:szCs w:val="22"/>
      <w:lang w:eastAsia="en-US"/>
    </w:rPr>
  </w:style>
  <w:style w:type="paragraph" w:customStyle="1" w:styleId="39">
    <w:name w:val="修订1"/>
    <w:hidden/>
    <w:unhideWhenUsed/>
    <w:qFormat/>
    <w:uiPriority w:val="99"/>
    <w:rPr>
      <w:rFonts w:asciiTheme="minorHAnsi" w:hAnsiTheme="minorHAnsi" w:eastAsiaTheme="minorHAnsi" w:cstheme="minorBidi"/>
      <w:sz w:val="22"/>
      <w:szCs w:val="22"/>
      <w:lang w:val="en-US" w:eastAsia="en-US" w:bidi="ar-SA"/>
    </w:rPr>
  </w:style>
  <w:style w:type="paragraph" w:customStyle="1" w:styleId="40">
    <w:name w:val="Revision"/>
    <w:hidden/>
    <w:unhideWhenUsed/>
    <w:qFormat/>
    <w:uiPriority w:val="99"/>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9C9F2-D717-409E-B8B5-FC5627407AB6}">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12</Pages>
  <Words>4239</Words>
  <Characters>4502</Characters>
  <Lines>28</Lines>
  <Paragraphs>8</Paragraphs>
  <TotalTime>6</TotalTime>
  <ScaleCrop>false</ScaleCrop>
  <LinksUpToDate>false</LinksUpToDate>
  <CharactersWithSpaces>4587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2024-09-09T00:38:00Z</dcterms:created>
  <dc:creator>Administrator</dc:creator>
  <cp:lastModifiedBy>一撇一捺默写牵挂</cp:lastModifiedBy>
  <cp:lastPrinted>2021-09-15T00:34:00Z</cp:lastPrinted>
  <dcterms:modified xsi:type="dcterms:W3CDTF">2026-09-08T03:09:40Z</dcterms:modified>
  <dc:title>NO</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2018-11-01T00:00:00Z</vt:filetime>
  </property>
  <property fmtid="{D5CDD505-2E9C-101B-9397-08002B2CF9AE}" pid="3" name="Creator">
    <vt:lpwstr>Microsoft® Word 2010</vt:lpwstr>
  </property>
  <property fmtid="{D5CDD505-2E9C-101B-9397-08002B2CF9AE}" pid="4" name="LastSaved">
    <vt:filetime>2018-11-14T00:00:00Z</vt:filetime>
  </property>
  <property fmtid="{D5CDD505-2E9C-101B-9397-08002B2CF9AE}" pid="5" name="KSOProductBuildVer">
    <vt:lpwstr>2052-12.1.0.28043</vt:lpwstr>
  </property>
  <property fmtid="{D5CDD505-2E9C-101B-9397-08002B2CF9AE}" pid="6" name="ICV">
    <vt:lpwstr>B5C56473EBF342BF8B47A54523D43FAF_13</vt:lpwstr>
  </property>
  <property fmtid="{D5CDD505-2E9C-101B-9397-08002B2CF9AE}" pid="7" name="KSOTemplateDocerSaveRecord">
    <vt:lpwstr>eyJoZGlkIjoiYjMyOTg5OTQ2NGI3ZTY2M2E5MmFkYWUzNzU3MTMwOTYiLCJ1c2VySWQiOiI2NDI3NjEwNTUifQ==</vt:lpwstr>
  </property>
</Properties>
</file>