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6"/>
        <w:tblpPr w:leftFromText="180" w:rightFromText="180" w:vertAnchor="page" w:horzAnchor="margin" w:tblpY="2941"/>
        <w:tblW w:w="8497"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410"/>
        <w:gridCol w:w="7087"/>
      </w:tblGrid>
      <w:tr w14:paraId="6376AA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2" w:hRule="atLeast"/>
        </w:trPr>
        <w:tc>
          <w:tcPr>
            <w:tcW w:w="1410" w:type="dxa"/>
            <w:vAlign w:val="center"/>
          </w:tcPr>
          <w:p w14:paraId="7F2C927F">
            <w:pPr>
              <w:pStyle w:val="37"/>
              <w:jc w:val="center"/>
              <w:rPr>
                <w:rFonts w:hint="eastAsia"/>
                <w:b/>
                <w:bCs/>
                <w:lang w:eastAsia="en-US"/>
              </w:rPr>
            </w:pPr>
            <w:r>
              <w:rPr>
                <w:b/>
                <w:bCs/>
                <w:spacing w:val="-3"/>
                <w:lang w:eastAsia="en-US"/>
              </w:rPr>
              <w:t>项目名称</w:t>
            </w:r>
          </w:p>
        </w:tc>
        <w:tc>
          <w:tcPr>
            <w:tcW w:w="7087" w:type="dxa"/>
            <w:vAlign w:val="center"/>
          </w:tcPr>
          <w:p w14:paraId="6BFCFCAF">
            <w:pPr>
              <w:pStyle w:val="37"/>
              <w:jc w:val="center"/>
              <w:rPr>
                <w:rFonts w:ascii="Times New Roman" w:hAnsi="Times New Roman" w:cs="Times New Roman"/>
                <w:lang w:eastAsia="zh-CN"/>
              </w:rPr>
            </w:pPr>
            <w:r>
              <w:rPr>
                <w:rFonts w:ascii="Times New Roman" w:hAnsi="Times New Roman" w:cs="Times New Roman"/>
                <w:lang w:eastAsia="zh-CN"/>
              </w:rPr>
              <w:t>食源性纳米酶法粮油质量安全快速监测与绿色防控关键技术集成及示范</w:t>
            </w:r>
          </w:p>
        </w:tc>
      </w:tr>
      <w:tr w14:paraId="33FD31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0" w:hRule="atLeast"/>
        </w:trPr>
        <w:tc>
          <w:tcPr>
            <w:tcW w:w="1410" w:type="dxa"/>
            <w:vAlign w:val="center"/>
          </w:tcPr>
          <w:p w14:paraId="5A836399">
            <w:pPr>
              <w:pStyle w:val="37"/>
              <w:jc w:val="center"/>
              <w:rPr>
                <w:rFonts w:hint="eastAsia"/>
                <w:b/>
                <w:bCs/>
                <w:spacing w:val="-2"/>
                <w:lang w:eastAsia="en-US"/>
              </w:rPr>
            </w:pPr>
            <w:r>
              <w:rPr>
                <w:rFonts w:hint="eastAsia"/>
                <w:b/>
                <w:bCs/>
                <w:spacing w:val="-2"/>
                <w:lang w:eastAsia="zh-CN"/>
              </w:rPr>
              <w:t>申报类型</w:t>
            </w:r>
          </w:p>
        </w:tc>
        <w:tc>
          <w:tcPr>
            <w:tcW w:w="7087" w:type="dxa"/>
            <w:vAlign w:val="center"/>
          </w:tcPr>
          <w:p w14:paraId="7D90B859">
            <w:pPr>
              <w:pStyle w:val="37"/>
              <w:jc w:val="center"/>
              <w:rPr>
                <w:rFonts w:ascii="Times New Roman" w:hAnsi="Times New Roman" w:cs="Times New Roman"/>
                <w:lang w:eastAsia="en-US"/>
              </w:rPr>
            </w:pPr>
            <w:r>
              <w:rPr>
                <w:rFonts w:hint="eastAsia" w:ascii="Times New Roman" w:hAnsi="Times New Roman" w:cs="Times New Roman"/>
                <w:lang w:eastAsia="zh-CN"/>
              </w:rPr>
              <w:t>科学技术奖</w:t>
            </w:r>
          </w:p>
        </w:tc>
      </w:tr>
      <w:tr w14:paraId="58FF7D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6" w:hRule="atLeast"/>
        </w:trPr>
        <w:tc>
          <w:tcPr>
            <w:tcW w:w="1410" w:type="dxa"/>
            <w:vAlign w:val="center"/>
          </w:tcPr>
          <w:p w14:paraId="135C4A9B">
            <w:pPr>
              <w:pStyle w:val="37"/>
              <w:jc w:val="center"/>
              <w:rPr>
                <w:rFonts w:hint="eastAsia"/>
                <w:b/>
                <w:bCs/>
                <w:lang w:eastAsia="en-US"/>
              </w:rPr>
            </w:pPr>
            <w:r>
              <w:rPr>
                <w:b/>
                <w:bCs/>
                <w:spacing w:val="-2"/>
                <w:lang w:eastAsia="en-US"/>
              </w:rPr>
              <w:t>主要完成人</w:t>
            </w:r>
          </w:p>
        </w:tc>
        <w:tc>
          <w:tcPr>
            <w:tcW w:w="7087" w:type="dxa"/>
            <w:vAlign w:val="center"/>
          </w:tcPr>
          <w:p w14:paraId="56A6D328">
            <w:pPr>
              <w:pStyle w:val="37"/>
              <w:jc w:val="center"/>
              <w:rPr>
                <w:rFonts w:hint="eastAsia" w:ascii="Times New Roman"/>
                <w:lang w:eastAsia="zh-CN"/>
              </w:rPr>
            </w:pPr>
            <w:r>
              <w:rPr>
                <w:rFonts w:ascii="Times New Roman" w:hAnsi="Times New Roman" w:cs="Times New Roman"/>
                <w:lang w:eastAsia="zh-CN"/>
              </w:rPr>
              <w:t>张文涛、刘鑫楠、陈晋莹、王子烨、卢美杉、宁健婷、张宇光、路峰、徐显睿</w:t>
            </w:r>
          </w:p>
        </w:tc>
      </w:tr>
      <w:tr w14:paraId="5C03AC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5" w:hRule="atLeast"/>
        </w:trPr>
        <w:tc>
          <w:tcPr>
            <w:tcW w:w="1410" w:type="dxa"/>
            <w:vAlign w:val="center"/>
          </w:tcPr>
          <w:p w14:paraId="5C8CB3C5">
            <w:pPr>
              <w:pStyle w:val="37"/>
              <w:jc w:val="center"/>
              <w:rPr>
                <w:rFonts w:hint="eastAsia"/>
                <w:b/>
                <w:bCs/>
                <w:lang w:eastAsia="en-US"/>
              </w:rPr>
            </w:pPr>
            <w:r>
              <w:rPr>
                <w:b/>
                <w:bCs/>
                <w:spacing w:val="-2"/>
                <w:lang w:eastAsia="en-US"/>
              </w:rPr>
              <w:t>主要完成单位</w:t>
            </w:r>
          </w:p>
        </w:tc>
        <w:tc>
          <w:tcPr>
            <w:tcW w:w="7087" w:type="dxa"/>
            <w:vAlign w:val="center"/>
          </w:tcPr>
          <w:p w14:paraId="1CD96BA7">
            <w:pPr>
              <w:pStyle w:val="37"/>
              <w:jc w:val="center"/>
              <w:rPr>
                <w:rFonts w:hint="eastAsia" w:ascii="Times New Roman"/>
                <w:lang w:eastAsia="zh-CN"/>
              </w:rPr>
            </w:pPr>
            <w:r>
              <w:rPr>
                <w:lang w:eastAsia="zh-CN"/>
              </w:rPr>
              <w:t>西北农林科技大学、沈阳师范大学、中储粮成都储藏研究院有限公司、辽宁省粮食和物资储备事务服务中心（辽宁省粮食检验检测中心）、中创益科（沈阳）生物技术研究有限公司</w:t>
            </w:r>
          </w:p>
        </w:tc>
      </w:tr>
      <w:tr w14:paraId="46B295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75" w:hRule="atLeast"/>
        </w:trPr>
        <w:tc>
          <w:tcPr>
            <w:tcW w:w="1410" w:type="dxa"/>
            <w:vAlign w:val="center"/>
          </w:tcPr>
          <w:p w14:paraId="13F9B0E1">
            <w:pPr>
              <w:pStyle w:val="37"/>
              <w:jc w:val="center"/>
              <w:rPr>
                <w:rFonts w:hint="eastAsia"/>
                <w:b/>
                <w:bCs/>
                <w:spacing w:val="-2"/>
                <w:lang w:eastAsia="zh-CN"/>
              </w:rPr>
            </w:pPr>
            <w:r>
              <w:rPr>
                <w:rFonts w:hint="eastAsia"/>
                <w:lang w:eastAsia="zh-CN"/>
              </w:rPr>
              <w:t>提名书相关内容</w:t>
            </w:r>
          </w:p>
        </w:tc>
        <w:tc>
          <w:tcPr>
            <w:tcW w:w="7087" w:type="dxa"/>
            <w:vAlign w:val="center"/>
          </w:tcPr>
          <w:p w14:paraId="6D0369D3">
            <w:pPr>
              <w:pStyle w:val="37"/>
              <w:jc w:val="both"/>
              <w:rPr>
                <w:rFonts w:ascii="Times New Roman" w:hAnsi="Times New Roman" w:cs="Times New Roman"/>
                <w:b/>
                <w:bCs/>
                <w:lang w:eastAsia="zh-CN"/>
              </w:rPr>
            </w:pPr>
            <w:r>
              <w:rPr>
                <w:rFonts w:ascii="Times New Roman" w:hAnsi="Times New Roman" w:cs="Times New Roman"/>
                <w:b/>
                <w:bCs/>
                <w:lang w:eastAsia="zh-CN"/>
              </w:rPr>
              <w:t>主要知识产权</w:t>
            </w:r>
            <w:r>
              <w:rPr>
                <w:rFonts w:hint="eastAsia" w:ascii="Times New Roman" w:hAnsi="Times New Roman" w:cs="Times New Roman"/>
                <w:b/>
                <w:bCs/>
                <w:lang w:eastAsia="zh-CN"/>
              </w:rPr>
              <w:t>：</w:t>
            </w:r>
          </w:p>
          <w:p w14:paraId="14BA4A7C">
            <w:pPr>
              <w:pStyle w:val="37"/>
              <w:jc w:val="both"/>
              <w:rPr>
                <w:rFonts w:ascii="Times New Roman" w:hAnsi="Times New Roman" w:cs="Times New Roman"/>
                <w:lang w:eastAsia="zh-CN"/>
              </w:rPr>
            </w:pPr>
            <w:r>
              <w:rPr>
                <w:rFonts w:hint="eastAsia" w:ascii="Times New Roman" w:hAnsi="Times New Roman" w:cs="Times New Roman"/>
                <w:lang w:eastAsia="zh-CN"/>
              </w:rPr>
              <w:t>[1]</w:t>
            </w:r>
            <w:r>
              <w:rPr>
                <w:rFonts w:hint="eastAsia" w:ascii="Times New Roman" w:hAnsi="Times New Roman" w:cs="Times New Roman"/>
                <w:lang w:eastAsia="zh-CN"/>
              </w:rPr>
              <w:tab/>
            </w:r>
            <w:r>
              <w:rPr>
                <w:rFonts w:hint="eastAsia" w:ascii="Times New Roman" w:hAnsi="Times New Roman" w:cs="Times New Roman"/>
                <w:lang w:eastAsia="zh-CN"/>
              </w:rPr>
              <w:t>张文涛, 张秋平, 王建龙, 石硕, 淡洁. 一种酶基金属-多酚纳米级联催化的微生物活力检测探针及其制备方法和应用. ZL202110482862.2</w:t>
            </w:r>
          </w:p>
          <w:p w14:paraId="49C82221">
            <w:pPr>
              <w:pStyle w:val="37"/>
              <w:jc w:val="both"/>
              <w:rPr>
                <w:rFonts w:ascii="Times New Roman" w:hAnsi="Times New Roman" w:cs="Times New Roman"/>
                <w:lang w:eastAsia="zh-CN"/>
              </w:rPr>
            </w:pPr>
            <w:r>
              <w:rPr>
                <w:rFonts w:hint="eastAsia" w:ascii="Times New Roman" w:hAnsi="Times New Roman" w:cs="Times New Roman"/>
                <w:lang w:eastAsia="zh-CN"/>
              </w:rPr>
              <w:t>[2]</w:t>
            </w:r>
            <w:r>
              <w:rPr>
                <w:rFonts w:hint="eastAsia" w:ascii="Times New Roman" w:hAnsi="Times New Roman" w:cs="Times New Roman"/>
                <w:lang w:eastAsia="zh-CN"/>
              </w:rPr>
              <w:tab/>
            </w:r>
            <w:r>
              <w:rPr>
                <w:rFonts w:hint="eastAsia" w:ascii="Times New Roman" w:hAnsi="Times New Roman" w:cs="Times New Roman"/>
                <w:lang w:eastAsia="zh-CN"/>
              </w:rPr>
              <w:t xml:space="preserve">张文涛, 苏泽辉, 王建龙, 梁晓菲, 韩希美, 李想. 麦芽酚铁过氧化物模拟酶在检测过氧化氢和总抗氧化能力中的应用. ZL202111614497.2 </w:t>
            </w:r>
          </w:p>
          <w:p w14:paraId="1DD236D7">
            <w:pPr>
              <w:pStyle w:val="37"/>
              <w:jc w:val="both"/>
              <w:rPr>
                <w:rFonts w:ascii="Times New Roman" w:hAnsi="Times New Roman" w:cs="Times New Roman"/>
                <w:lang w:eastAsia="zh-CN"/>
              </w:rPr>
            </w:pPr>
            <w:r>
              <w:rPr>
                <w:rFonts w:hint="eastAsia" w:ascii="Times New Roman" w:hAnsi="Times New Roman" w:cs="Times New Roman"/>
                <w:lang w:eastAsia="zh-CN"/>
              </w:rPr>
              <w:t>[3]</w:t>
            </w:r>
            <w:r>
              <w:rPr>
                <w:rFonts w:hint="eastAsia" w:ascii="Times New Roman" w:hAnsi="Times New Roman" w:cs="Times New Roman"/>
                <w:lang w:eastAsia="zh-CN"/>
              </w:rPr>
              <w:tab/>
            </w:r>
            <w:r>
              <w:rPr>
                <w:rFonts w:hint="eastAsia" w:ascii="Times New Roman" w:hAnsi="Times New Roman" w:cs="Times New Roman"/>
                <w:lang w:eastAsia="zh-CN"/>
              </w:rPr>
              <w:t>张文涛, 孙浩, 王建龙, 苟知非. 一种食源性类黑精螯合物纳米酶及其制备方法和应用. ZL202210535290.4</w:t>
            </w:r>
          </w:p>
          <w:p w14:paraId="66FCE297">
            <w:pPr>
              <w:pStyle w:val="37"/>
              <w:jc w:val="both"/>
              <w:rPr>
                <w:rFonts w:ascii="Times New Roman" w:hAnsi="Times New Roman" w:cs="Times New Roman"/>
                <w:lang w:eastAsia="zh-CN"/>
              </w:rPr>
            </w:pPr>
            <w:r>
              <w:rPr>
                <w:rFonts w:hint="eastAsia" w:ascii="Times New Roman" w:hAnsi="Times New Roman" w:cs="Times New Roman"/>
                <w:lang w:eastAsia="zh-CN"/>
              </w:rPr>
              <w:t>[4]</w:t>
            </w:r>
            <w:r>
              <w:rPr>
                <w:rFonts w:hint="eastAsia" w:ascii="Times New Roman" w:hAnsi="Times New Roman" w:cs="Times New Roman"/>
                <w:lang w:eastAsia="zh-CN"/>
              </w:rPr>
              <w:tab/>
            </w:r>
            <w:r>
              <w:rPr>
                <w:rFonts w:hint="eastAsia" w:ascii="Times New Roman" w:hAnsi="Times New Roman" w:cs="Times New Roman"/>
                <w:lang w:eastAsia="zh-CN"/>
              </w:rPr>
              <w:t>张文涛, 梁艳敏, 王建龙, 石硕 苏泽辉. 铁-黑色素过氧化物模拟酶在检测总抗氧化能力中的应用. ZL202210087047.0</w:t>
            </w:r>
          </w:p>
          <w:p w14:paraId="639D8306">
            <w:pPr>
              <w:pStyle w:val="37"/>
              <w:jc w:val="both"/>
              <w:rPr>
                <w:rFonts w:ascii="Times New Roman" w:hAnsi="Times New Roman" w:cs="Times New Roman"/>
                <w:lang w:eastAsia="zh-CN"/>
              </w:rPr>
            </w:pPr>
            <w:r>
              <w:rPr>
                <w:rFonts w:hint="eastAsia" w:ascii="Times New Roman" w:hAnsi="Times New Roman" w:cs="Times New Roman"/>
                <w:lang w:eastAsia="zh-CN"/>
              </w:rPr>
              <w:t>[5]</w:t>
            </w:r>
            <w:r>
              <w:rPr>
                <w:rFonts w:hint="eastAsia" w:ascii="Times New Roman" w:hAnsi="Times New Roman" w:cs="Times New Roman"/>
                <w:lang w:eastAsia="zh-CN"/>
              </w:rPr>
              <w:tab/>
            </w:r>
            <w:r>
              <w:rPr>
                <w:rFonts w:ascii="Times New Roman" w:hAnsi="Times New Roman" w:cs="Times New Roman"/>
                <w:lang w:eastAsia="zh-CN"/>
              </w:rPr>
              <w:t>陈晋莹，单晓雪，李理，唐坤，姜友军</w:t>
            </w:r>
            <w:r>
              <w:rPr>
                <w:rFonts w:hint="eastAsia" w:ascii="Times New Roman" w:hAnsi="Times New Roman" w:cs="Times New Roman"/>
                <w:lang w:eastAsia="zh-CN"/>
              </w:rPr>
              <w:t>.</w:t>
            </w:r>
            <w:r>
              <w:rPr>
                <w:rFonts w:ascii="Times New Roman" w:hAnsi="Times New Roman" w:cs="Times New Roman"/>
                <w:lang w:eastAsia="zh-CN"/>
              </w:rPr>
              <w:t>一种利用光催化剂降解真菌毒素降解的装置</w:t>
            </w:r>
            <w:r>
              <w:rPr>
                <w:rFonts w:hint="eastAsia" w:ascii="Times New Roman" w:hAnsi="Times New Roman" w:cs="Times New Roman"/>
                <w:lang w:eastAsia="zh-CN"/>
              </w:rPr>
              <w:t xml:space="preserve">. </w:t>
            </w:r>
            <w:r>
              <w:rPr>
                <w:rFonts w:ascii="Times New Roman" w:hAnsi="Times New Roman" w:cs="Times New Roman"/>
                <w:lang w:eastAsia="zh-CN"/>
              </w:rPr>
              <w:t>ZL202120944487.4</w:t>
            </w:r>
          </w:p>
          <w:p w14:paraId="34339CD5">
            <w:pPr>
              <w:pStyle w:val="37"/>
              <w:jc w:val="both"/>
              <w:rPr>
                <w:rFonts w:ascii="Times New Roman" w:hAnsi="Times New Roman" w:cs="Times New Roman"/>
                <w:b/>
                <w:lang w:eastAsia="zh-CN"/>
              </w:rPr>
            </w:pPr>
            <w:r>
              <w:rPr>
                <w:rFonts w:ascii="Times New Roman" w:hAnsi="Times New Roman" w:cs="Times New Roman"/>
                <w:b/>
                <w:lang w:eastAsia="zh-CN"/>
              </w:rPr>
              <w:t>代表性论文专著：</w:t>
            </w:r>
          </w:p>
          <w:p w14:paraId="3B1454BF">
            <w:pPr>
              <w:pStyle w:val="37"/>
              <w:jc w:val="both"/>
              <w:rPr>
                <w:rFonts w:ascii="Times New Roman" w:hAnsi="Times New Roman" w:cs="Times New Roman"/>
                <w:lang w:eastAsia="en-US"/>
              </w:rPr>
            </w:pPr>
            <w:r>
              <w:rPr>
                <w:rFonts w:ascii="Times New Roman" w:hAnsi="Times New Roman" w:cs="Times New Roman"/>
                <w:lang w:eastAsia="zh-CN"/>
              </w:rPr>
              <w:t xml:space="preserve">1. </w:t>
            </w:r>
            <w:r>
              <w:rPr>
                <w:rFonts w:ascii="Times New Roman" w:hAnsi="Times New Roman" w:cs="Times New Roman"/>
                <w:lang w:eastAsia="en-US"/>
              </w:rPr>
              <w:t>Zhang Chaoqun, Chen Haoqian, Feng Jianxing, Wang Tianyu, Liang Yanmin, Du Ting, Guo Zhenqing, Xia Yinqiang*, Wang Jianlong, Zhang Wentao*. Protein-derived antibacterial antioxidant nanoenzyme for fruit preservation. Chemical Engineering Journal. 2024, 489, 151515.</w:t>
            </w:r>
          </w:p>
          <w:p w14:paraId="1603F42A">
            <w:pPr>
              <w:pStyle w:val="37"/>
              <w:jc w:val="both"/>
              <w:rPr>
                <w:rFonts w:ascii="Times New Roman" w:hAnsi="Times New Roman" w:cs="Times New Roman"/>
                <w:lang w:eastAsia="en-US"/>
              </w:rPr>
            </w:pPr>
            <w:r>
              <w:rPr>
                <w:rFonts w:ascii="Times New Roman" w:hAnsi="Times New Roman" w:cs="Times New Roman"/>
                <w:lang w:eastAsia="zh-CN"/>
              </w:rPr>
              <w:t>2</w:t>
            </w:r>
            <w:r>
              <w:rPr>
                <w:rFonts w:ascii="Times New Roman" w:hAnsi="Times New Roman" w:cs="Times New Roman"/>
                <w:lang w:eastAsia="en-US"/>
              </w:rPr>
              <w:t>. Liu Xinnan, Huang Lunjie, Wang Yunpeng, Sun Jing, Yue Tianli, Zhang Wentao*, Wang Jianlong. One-pot bottom-up fabrication of a 2D/2D heterojuncted nanozyme towards optimized peroxidase-like activity for sulfide ions sensing. Sensors and Actuators B-Chemical, 2020, 306, 127565.</w:t>
            </w:r>
          </w:p>
          <w:p w14:paraId="30BA9B64">
            <w:pPr>
              <w:pStyle w:val="37"/>
              <w:jc w:val="both"/>
              <w:rPr>
                <w:rFonts w:ascii="Times New Roman" w:hAnsi="Times New Roman" w:cs="Times New Roman"/>
                <w:lang w:eastAsia="zh-CN"/>
              </w:rPr>
            </w:pPr>
            <w:r>
              <w:rPr>
                <w:rFonts w:ascii="Times New Roman" w:hAnsi="Times New Roman" w:cs="Times New Roman"/>
                <w:lang w:eastAsia="zh-CN"/>
              </w:rPr>
              <w:t>3.</w:t>
            </w:r>
            <w:r>
              <w:rPr>
                <w:rFonts w:hint="eastAsia"/>
                <w:lang w:eastAsia="en-US"/>
              </w:rPr>
              <w:t xml:space="preserve"> </w:t>
            </w:r>
            <w:r>
              <w:rPr>
                <w:rFonts w:ascii="Times New Roman" w:hAnsi="Times New Roman" w:cs="Times New Roman"/>
                <w:lang w:eastAsia="en-US"/>
              </w:rPr>
              <w:t>Yanmin Liang, Runli Li, Hao Sun, Jie Dan, Zehui Su, Yi Kang, Qiuping Zhang, Shuo Shi, Jianlong Wang, Wentao Zhang*. Functionalized natural melanin nanoparticle mimics natural peroxidase for total antioxidant capacity determination. Sensors and Actuators B-Chemical, 2022, 359: 131541.</w:t>
            </w:r>
          </w:p>
          <w:p w14:paraId="01D1038F">
            <w:pPr>
              <w:pStyle w:val="37"/>
              <w:jc w:val="both"/>
              <w:rPr>
                <w:rFonts w:ascii="Times New Roman" w:hAnsi="Times New Roman" w:cs="Times New Roman"/>
                <w:lang w:eastAsia="zh-CN"/>
              </w:rPr>
            </w:pPr>
            <w:r>
              <w:rPr>
                <w:rFonts w:ascii="Times New Roman" w:hAnsi="Times New Roman" w:cs="Times New Roman"/>
                <w:lang w:eastAsia="zh-CN"/>
              </w:rPr>
              <w:t xml:space="preserve">4. </w:t>
            </w:r>
            <w:r>
              <w:rPr>
                <w:rFonts w:hint="eastAsia" w:ascii="Times New Roman" w:hAnsi="Times New Roman" w:cs="Times New Roman"/>
                <w:lang w:eastAsia="zh-CN"/>
              </w:rPr>
              <w:t xml:space="preserve"> Chen Shuai, Li Li HaoYanhui Wang Jin, Liao Zilong, Shan Xiaoxue, Zhang Yuchong, Chen Jinying*. Study on the Degradation of Deoxynivalenol in Corn and Wheat Both in the Lab and Barn by Low Concentration Ozone. Journal of Food Processing and Preservation, 2022, 46, e15833.</w:t>
            </w:r>
          </w:p>
          <w:p w14:paraId="41D29533">
            <w:pPr>
              <w:pStyle w:val="37"/>
              <w:jc w:val="both"/>
              <w:rPr>
                <w:rFonts w:ascii="Times New Roman" w:hAnsi="Times New Roman" w:cs="Times New Roman"/>
                <w:lang w:eastAsia="zh-CN"/>
              </w:rPr>
            </w:pPr>
            <w:r>
              <w:rPr>
                <w:rFonts w:hint="eastAsia" w:ascii="Times New Roman" w:hAnsi="Times New Roman" w:cs="Times New Roman"/>
                <w:lang w:eastAsia="zh-CN"/>
              </w:rPr>
              <w:t xml:space="preserve">5. </w:t>
            </w:r>
            <w:r>
              <w:rPr>
                <w:rFonts w:ascii="Times New Roman" w:hAnsi="Times New Roman" w:cs="Times New Roman"/>
                <w:lang w:eastAsia="zh-CN"/>
              </w:rPr>
              <w:t>路峰*</w:t>
            </w:r>
            <w:r>
              <w:rPr>
                <w:rFonts w:hint="eastAsia" w:ascii="Times New Roman" w:hAnsi="Times New Roman" w:cs="Times New Roman"/>
                <w:lang w:eastAsia="zh-CN"/>
              </w:rPr>
              <w:t xml:space="preserve">. </w:t>
            </w:r>
            <w:r>
              <w:rPr>
                <w:rFonts w:ascii="Times New Roman" w:hAnsi="Times New Roman" w:cs="Times New Roman"/>
                <w:lang w:eastAsia="zh-CN"/>
              </w:rPr>
              <w:t>高效液相色谱-串联质谱法快速检测粮油制品中黄曲霉毒素 B1</w:t>
            </w:r>
            <w:r>
              <w:rPr>
                <w:rFonts w:hint="eastAsia" w:ascii="Times New Roman" w:hAnsi="Times New Roman" w:cs="Times New Roman"/>
                <w:lang w:eastAsia="zh-CN"/>
              </w:rPr>
              <w:t xml:space="preserve">. </w:t>
            </w:r>
            <w:r>
              <w:rPr>
                <w:rFonts w:ascii="Times New Roman" w:hAnsi="Times New Roman" w:cs="Times New Roman"/>
                <w:lang w:eastAsia="zh-CN"/>
              </w:rPr>
              <w:t>食品安全导刊</w:t>
            </w:r>
            <w:r>
              <w:rPr>
                <w:rFonts w:hint="eastAsia" w:ascii="Times New Roman" w:hAnsi="Times New Roman" w:cs="Times New Roman"/>
                <w:lang w:eastAsia="zh-CN"/>
              </w:rPr>
              <w:t xml:space="preserve">, </w:t>
            </w:r>
            <w:r>
              <w:rPr>
                <w:rFonts w:ascii="Times New Roman" w:hAnsi="Times New Roman" w:cs="Times New Roman"/>
                <w:lang w:eastAsia="zh-CN"/>
              </w:rPr>
              <w:t>2025, 19(23), 96-98+104</w:t>
            </w:r>
          </w:p>
        </w:tc>
      </w:tr>
    </w:tbl>
    <w:p w14:paraId="777E4DC3">
      <w:pPr>
        <w:jc w:val="center"/>
        <w:rPr>
          <w:rFonts w:hint="eastAsia" w:ascii="微软雅黑" w:hAnsi="微软雅黑" w:eastAsia="微软雅黑"/>
          <w:b/>
          <w:bCs/>
          <w:sz w:val="36"/>
          <w:szCs w:val="40"/>
        </w:rPr>
      </w:pPr>
      <w:bookmarkStart w:id="2" w:name="_GoBack"/>
      <w:bookmarkEnd w:id="2"/>
      <w:bookmarkStart w:id="0" w:name="OLE_LINK1"/>
      <w:bookmarkStart w:id="1" w:name="OLE_LINK3"/>
      <w:r>
        <w:rPr>
          <w:rFonts w:ascii="微软雅黑" w:hAnsi="微软雅黑" w:eastAsia="微软雅黑"/>
          <w:b/>
          <w:bCs/>
          <w:sz w:val="36"/>
          <w:szCs w:val="40"/>
        </w:rPr>
        <w:t>2026年度中国粮油学会科学技术奖</w:t>
      </w:r>
      <w:bookmarkEnd w:id="0"/>
      <w:r>
        <w:rPr>
          <w:rFonts w:hint="eastAsia" w:ascii="微软雅黑" w:hAnsi="微软雅黑" w:eastAsia="微软雅黑"/>
          <w:b/>
          <w:bCs/>
          <w:sz w:val="36"/>
          <w:szCs w:val="40"/>
        </w:rPr>
        <w:t>公示内容</w:t>
      </w:r>
      <w:bookmarkEnd w:id="1"/>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8AF"/>
    <w:rsid w:val="00031402"/>
    <w:rsid w:val="000F13EB"/>
    <w:rsid w:val="00117288"/>
    <w:rsid w:val="001C1869"/>
    <w:rsid w:val="00226B48"/>
    <w:rsid w:val="003C4D2C"/>
    <w:rsid w:val="004514E1"/>
    <w:rsid w:val="004E5EB1"/>
    <w:rsid w:val="00510F78"/>
    <w:rsid w:val="0053649E"/>
    <w:rsid w:val="00551646"/>
    <w:rsid w:val="005E5204"/>
    <w:rsid w:val="006457A3"/>
    <w:rsid w:val="00656392"/>
    <w:rsid w:val="007F1B4A"/>
    <w:rsid w:val="008218AF"/>
    <w:rsid w:val="00946C10"/>
    <w:rsid w:val="00957CF9"/>
    <w:rsid w:val="0098032A"/>
    <w:rsid w:val="009B6F00"/>
    <w:rsid w:val="00AC7CCA"/>
    <w:rsid w:val="00AF1DA6"/>
    <w:rsid w:val="00B0350E"/>
    <w:rsid w:val="00B70EA8"/>
    <w:rsid w:val="00BC0453"/>
    <w:rsid w:val="00C974AF"/>
    <w:rsid w:val="00D11D1A"/>
    <w:rsid w:val="00D7046C"/>
    <w:rsid w:val="00D86B81"/>
    <w:rsid w:val="00DA1917"/>
    <w:rsid w:val="00DF446E"/>
    <w:rsid w:val="00FA72DB"/>
    <w:rsid w:val="0FAB1529"/>
    <w:rsid w:val="201D2D1F"/>
    <w:rsid w:val="54A334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3"/>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4"/>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9"/>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38"/>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8"/>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7"/>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styleId="17">
    <w:name w:val="Hyperlink"/>
    <w:basedOn w:val="16"/>
    <w:unhideWhenUsed/>
    <w:qFormat/>
    <w:uiPriority w:val="99"/>
    <w:rPr>
      <w:color w:val="467886" w:themeColor="hyperlink"/>
      <w:u w:val="single"/>
      <w14:textFill>
        <w14:solidFill>
          <w14:schemeClr w14:val="hlink"/>
        </w14:solidFill>
      </w14:textFill>
    </w:rPr>
  </w:style>
  <w:style w:type="character" w:customStyle="1" w:styleId="18">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9">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0">
    <w:name w:val="标题 3 字符"/>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1">
    <w:name w:val="标题 4 字符"/>
    <w:basedOn w:val="16"/>
    <w:link w:val="5"/>
    <w:semiHidden/>
    <w:qFormat/>
    <w:uiPriority w:val="9"/>
    <w:rPr>
      <w:rFonts w:cstheme="majorBidi"/>
      <w:color w:val="104862" w:themeColor="accent1" w:themeShade="BF"/>
      <w:sz w:val="28"/>
      <w:szCs w:val="28"/>
    </w:rPr>
  </w:style>
  <w:style w:type="character" w:customStyle="1" w:styleId="22">
    <w:name w:val="标题 5 字符"/>
    <w:basedOn w:val="16"/>
    <w:link w:val="6"/>
    <w:semiHidden/>
    <w:qFormat/>
    <w:uiPriority w:val="9"/>
    <w:rPr>
      <w:rFonts w:cstheme="majorBidi"/>
      <w:color w:val="104862" w:themeColor="accent1" w:themeShade="BF"/>
      <w:sz w:val="24"/>
    </w:rPr>
  </w:style>
  <w:style w:type="character" w:customStyle="1" w:styleId="23">
    <w:name w:val="标题 6 字符"/>
    <w:basedOn w:val="16"/>
    <w:link w:val="7"/>
    <w:semiHidden/>
    <w:qFormat/>
    <w:uiPriority w:val="9"/>
    <w:rPr>
      <w:rFonts w:cstheme="majorBidi"/>
      <w:b/>
      <w:bCs/>
      <w:color w:val="104862" w:themeColor="accent1" w:themeShade="BF"/>
    </w:rPr>
  </w:style>
  <w:style w:type="character" w:customStyle="1" w:styleId="24">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6"/>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6"/>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4">
    <w:name w:val="明显引用 字符"/>
    <w:basedOn w:val="16"/>
    <w:link w:val="33"/>
    <w:qFormat/>
    <w:uiPriority w:val="30"/>
    <w:rPr>
      <w:i/>
      <w:iCs/>
      <w:color w:val="104862" w:themeColor="accent1" w:themeShade="BF"/>
    </w:rPr>
  </w:style>
  <w:style w:type="character" w:customStyle="1" w:styleId="35">
    <w:name w:val="Intense Reference"/>
    <w:basedOn w:val="16"/>
    <w:qFormat/>
    <w:uiPriority w:val="32"/>
    <w:rPr>
      <w:b/>
      <w:bCs/>
      <w:smallCaps/>
      <w:color w:val="104862" w:themeColor="accent1" w:themeShade="BF"/>
      <w:spacing w:val="5"/>
    </w:rPr>
  </w:style>
  <w:style w:type="table" w:customStyle="1" w:styleId="36">
    <w:name w:val="Table Normal"/>
    <w:semiHidden/>
    <w:unhideWhenUsed/>
    <w:qFormat/>
    <w:uiPriority w:val="2"/>
    <w:pPr>
      <w:widowControl w:val="0"/>
      <w:autoSpaceDE w:val="0"/>
      <w:autoSpaceDN w:val="0"/>
      <w:spacing w:after="0" w:line="240" w:lineRule="auto"/>
    </w:pPr>
    <w:rPr>
      <w:kern w:val="0"/>
      <w:szCs w:val="22"/>
      <w:lang w:eastAsia="en-US"/>
      <w14:ligatures w14:val="none"/>
    </w:rPr>
    <w:tblPr>
      <w:tblCellMar>
        <w:top w:w="0" w:type="dxa"/>
        <w:left w:w="0" w:type="dxa"/>
        <w:bottom w:w="0" w:type="dxa"/>
        <w:right w:w="0" w:type="dxa"/>
      </w:tblCellMar>
    </w:tblPr>
  </w:style>
  <w:style w:type="paragraph" w:customStyle="1" w:styleId="37">
    <w:name w:val="Table Paragraph"/>
    <w:basedOn w:val="1"/>
    <w:qFormat/>
    <w:uiPriority w:val="1"/>
    <w:pPr>
      <w:autoSpaceDE w:val="0"/>
      <w:autoSpaceDN w:val="0"/>
      <w:spacing w:after="0" w:line="240" w:lineRule="auto"/>
    </w:pPr>
    <w:rPr>
      <w:rFonts w:ascii="宋体" w:hAnsi="宋体" w:eastAsia="宋体" w:cs="宋体"/>
      <w:kern w:val="0"/>
      <w:szCs w:val="22"/>
      <w14:ligatures w14:val="none"/>
    </w:rPr>
  </w:style>
  <w:style w:type="character" w:customStyle="1" w:styleId="38">
    <w:name w:val="页眉 字符"/>
    <w:basedOn w:val="16"/>
    <w:link w:val="12"/>
    <w:qFormat/>
    <w:uiPriority w:val="99"/>
    <w:rPr>
      <w:sz w:val="18"/>
      <w:szCs w:val="18"/>
    </w:rPr>
  </w:style>
  <w:style w:type="character" w:customStyle="1" w:styleId="39">
    <w:name w:val="页脚 字符"/>
    <w:basedOn w:val="16"/>
    <w:link w:val="11"/>
    <w:qFormat/>
    <w:uiPriority w:val="99"/>
    <w:rPr>
      <w:sz w:val="18"/>
      <w:szCs w:val="18"/>
    </w:rPr>
  </w:style>
  <w:style w:type="character" w:customStyle="1" w:styleId="40">
    <w:name w:val="Unresolved Mention"/>
    <w:basedOn w:val="16"/>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Pages>1</Pages>
  <Words>960</Words>
  <Characters>1928</Characters>
  <Lines>65</Lines>
  <Paragraphs>30</Paragraphs>
  <TotalTime>30</TotalTime>
  <ScaleCrop>false</ScaleCrop>
  <LinksUpToDate>false</LinksUpToDate>
  <CharactersWithSpaces>2129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2026-08-20T07:59:00Z</dcterms:created>
  <dc:creator>xinnan liu</dc:creator>
  <cp:lastModifiedBy>兔八哥</cp:lastModifiedBy>
  <dcterms:modified xsi:type="dcterms:W3CDTF">2026-08-21T02:37:23Z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eyJoZGlkIjoiODNjZTk0NTk2M2E0MTc5ZjU1ZDdhZmQxMjJlMzdmZTciLCJ1c2VySWQiOiIzNjY4OTk1MjIifQ==</vt:lpwstr>
  </property>
  <property fmtid="{D5CDD505-2E9C-101B-9397-08002B2CF9AE}" pid="3" name="KSOProductBuildVer">
    <vt:lpwstr>2052-12.1.0.28043</vt:lpwstr>
  </property>
  <property fmtid="{D5CDD505-2E9C-101B-9397-08002B2CF9AE}" pid="4" name="ICV">
    <vt:lpwstr>46BD325BD0F54FDFAB4B8207B56F52E5_12</vt:lpwstr>
  </property>
</Properties>
</file>