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6BA5AB">
      <w:pPr>
        <w:spacing w:after="0"/>
        <w:jc w:val="center"/>
        <w:rPr>
          <w:rFonts w:hint="eastAsia" w:ascii="方正小标宋简体" w:hAnsi="方正小标宋简体" w:eastAsia="方正小标宋简体"/>
          <w:sz w:val="28"/>
          <w:szCs w:val="28"/>
        </w:rPr>
      </w:pPr>
      <w:r>
        <w:rPr>
          <w:rFonts w:ascii="微软雅黑" w:hAnsi="微软雅黑" w:eastAsia="微软雅黑" w:cs="微软雅黑"/>
          <w:i w:val="0"/>
          <w:iCs w:val="0"/>
          <w:caps w:val="0"/>
          <w:color w:val="000000"/>
          <w:spacing w:val="0"/>
          <w:sz w:val="28"/>
          <w:szCs w:val="28"/>
        </w:rPr>
        <w:t>玉米储藏全过程有害微生物精准防控关键技术与应用—公示材料</w:t>
      </w:r>
    </w:p>
    <w:tbl>
      <w:tblPr>
        <w:tblStyle w:val="37"/>
        <w:tblpPr w:leftFromText="180" w:rightFromText="180" w:vertAnchor="page" w:horzAnchor="margin" w:tblpY="2115"/>
        <w:tblW w:w="0" w:type="auto"/>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0" w:type="dxa"/>
          <w:bottom w:w="0" w:type="dxa"/>
          <w:right w:w="0" w:type="dxa"/>
        </w:tblCellMar>
      </w:tblPr>
      <w:tblGrid>
        <w:gridCol w:w="1835"/>
        <w:gridCol w:w="6455"/>
      </w:tblGrid>
      <w:tr w14:paraId="62377D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2" w:hRule="atLeast"/>
        </w:trPr>
        <w:tc>
          <w:tcPr>
            <w:tcW w:w="1835" w:type="dxa"/>
            <w:vAlign w:val="center"/>
          </w:tcPr>
          <w:p w14:paraId="0C112A46">
            <w:pPr>
              <w:pStyle w:val="38"/>
              <w:jc w:val="center"/>
              <w:rPr>
                <w:rFonts w:hint="eastAsia"/>
                <w:b/>
                <w:bCs/>
                <w:sz w:val="20"/>
                <w:szCs w:val="21"/>
                <w:lang w:eastAsia="en-US"/>
              </w:rPr>
            </w:pPr>
            <w:r>
              <w:rPr>
                <w:b/>
                <w:bCs/>
                <w:spacing w:val="-3"/>
                <w:sz w:val="20"/>
                <w:szCs w:val="21"/>
                <w:lang w:eastAsia="en-US"/>
              </w:rPr>
              <w:t>项目名称</w:t>
            </w:r>
          </w:p>
        </w:tc>
        <w:tc>
          <w:tcPr>
            <w:tcW w:w="6455" w:type="dxa"/>
            <w:vAlign w:val="center"/>
          </w:tcPr>
          <w:p w14:paraId="098F86EA">
            <w:pPr>
              <w:pStyle w:val="38"/>
              <w:jc w:val="center"/>
              <w:rPr>
                <w:rFonts w:ascii="Times New Roman" w:hAnsi="Times New Roman" w:cs="Times New Roman"/>
                <w:sz w:val="20"/>
                <w:szCs w:val="21"/>
                <w:lang w:eastAsia="zh-CN"/>
              </w:rPr>
            </w:pPr>
            <w:r>
              <w:rPr>
                <w:rFonts w:hint="eastAsia" w:ascii="Times New Roman" w:hAnsi="Times New Roman" w:cs="Times New Roman"/>
                <w:sz w:val="20"/>
                <w:szCs w:val="21"/>
                <w:lang w:eastAsia="zh-CN"/>
              </w:rPr>
              <w:t>玉米储藏全过程有害微生物精准防控关键技术与应用</w:t>
            </w:r>
          </w:p>
        </w:tc>
      </w:tr>
      <w:tr w14:paraId="206D15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0" w:hRule="atLeast"/>
        </w:trPr>
        <w:tc>
          <w:tcPr>
            <w:tcW w:w="1835" w:type="dxa"/>
            <w:vAlign w:val="center"/>
          </w:tcPr>
          <w:p w14:paraId="05D37DD7">
            <w:pPr>
              <w:pStyle w:val="38"/>
              <w:jc w:val="center"/>
              <w:rPr>
                <w:rFonts w:hint="eastAsia"/>
                <w:b/>
                <w:bCs/>
                <w:spacing w:val="-2"/>
                <w:sz w:val="20"/>
                <w:szCs w:val="21"/>
                <w:lang w:eastAsia="en-US"/>
              </w:rPr>
            </w:pPr>
            <w:r>
              <w:rPr>
                <w:rFonts w:hint="eastAsia"/>
                <w:b/>
                <w:bCs/>
                <w:spacing w:val="-2"/>
                <w:sz w:val="20"/>
                <w:szCs w:val="21"/>
                <w:lang w:eastAsia="zh-CN"/>
              </w:rPr>
              <w:t>申报类型</w:t>
            </w:r>
          </w:p>
        </w:tc>
        <w:tc>
          <w:tcPr>
            <w:tcW w:w="6455" w:type="dxa"/>
            <w:vAlign w:val="center"/>
          </w:tcPr>
          <w:p w14:paraId="1D8F6046">
            <w:pPr>
              <w:pStyle w:val="38"/>
              <w:jc w:val="center"/>
              <w:rPr>
                <w:rFonts w:ascii="Times New Roman" w:hAnsi="Times New Roman" w:cs="Times New Roman"/>
                <w:sz w:val="20"/>
                <w:szCs w:val="21"/>
                <w:lang w:eastAsia="en-US"/>
              </w:rPr>
            </w:pPr>
            <w:r>
              <w:rPr>
                <w:rFonts w:hint="eastAsia" w:ascii="Times New Roman" w:hAnsi="Times New Roman" w:cs="Times New Roman"/>
                <w:sz w:val="20"/>
                <w:szCs w:val="21"/>
                <w:lang w:eastAsia="zh-CN"/>
              </w:rPr>
              <w:t>科学技术奖</w:t>
            </w:r>
          </w:p>
        </w:tc>
      </w:tr>
      <w:tr w14:paraId="4C838C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6" w:hRule="atLeast"/>
        </w:trPr>
        <w:tc>
          <w:tcPr>
            <w:tcW w:w="1835" w:type="dxa"/>
            <w:vAlign w:val="center"/>
          </w:tcPr>
          <w:p w14:paraId="13E37DCF">
            <w:pPr>
              <w:pStyle w:val="38"/>
              <w:jc w:val="center"/>
              <w:rPr>
                <w:rFonts w:hint="eastAsia"/>
                <w:b/>
                <w:bCs/>
                <w:sz w:val="20"/>
                <w:szCs w:val="21"/>
                <w:lang w:eastAsia="en-US"/>
              </w:rPr>
            </w:pPr>
            <w:r>
              <w:rPr>
                <w:b/>
                <w:bCs/>
                <w:spacing w:val="-2"/>
                <w:sz w:val="20"/>
                <w:szCs w:val="21"/>
                <w:lang w:eastAsia="en-US"/>
              </w:rPr>
              <w:t>主要完成人</w:t>
            </w:r>
          </w:p>
        </w:tc>
        <w:tc>
          <w:tcPr>
            <w:tcW w:w="6455" w:type="dxa"/>
            <w:vAlign w:val="center"/>
          </w:tcPr>
          <w:p w14:paraId="195E2A25">
            <w:pPr>
              <w:pStyle w:val="38"/>
              <w:jc w:val="center"/>
              <w:rPr>
                <w:rFonts w:hint="eastAsia" w:ascii="Times New Roman"/>
                <w:sz w:val="20"/>
                <w:szCs w:val="21"/>
                <w:lang w:eastAsia="zh-CN"/>
              </w:rPr>
            </w:pPr>
            <w:r>
              <w:rPr>
                <w:rFonts w:ascii="Times New Roman" w:hAnsi="Times New Roman" w:cs="Times New Roman"/>
                <w:sz w:val="20"/>
                <w:szCs w:val="21"/>
                <w:lang w:eastAsia="zh-CN"/>
              </w:rPr>
              <w:t>杨庆余、骆鹏杰、殷雪驰、崔华</w:t>
            </w:r>
            <w:r>
              <w:rPr>
                <w:rFonts w:hint="eastAsia" w:ascii="Times New Roman" w:hAnsi="Times New Roman" w:cs="Times New Roman"/>
                <w:sz w:val="20"/>
                <w:szCs w:val="21"/>
                <w:lang w:eastAsia="zh-CN"/>
              </w:rPr>
              <w:t>、</w:t>
            </w:r>
            <w:r>
              <w:rPr>
                <w:rFonts w:ascii="Times New Roman" w:hAnsi="Times New Roman" w:cs="Times New Roman"/>
                <w:sz w:val="20"/>
                <w:szCs w:val="21"/>
                <w:lang w:eastAsia="zh-CN"/>
              </w:rPr>
              <w:t>李祖迪、纪立波、</w:t>
            </w:r>
            <w:r>
              <w:rPr>
                <w:rFonts w:hint="eastAsia" w:ascii="Times New Roman" w:hAnsi="Times New Roman" w:cs="Times New Roman"/>
                <w:sz w:val="20"/>
                <w:szCs w:val="21"/>
                <w:lang w:eastAsia="zh-CN"/>
              </w:rPr>
              <w:t>许蒙蒙</w:t>
            </w:r>
            <w:r>
              <w:rPr>
                <w:rFonts w:ascii="Times New Roman" w:hAnsi="Times New Roman" w:cs="Times New Roman"/>
                <w:sz w:val="20"/>
                <w:szCs w:val="21"/>
                <w:lang w:eastAsia="zh-CN"/>
              </w:rPr>
              <w:t>、王建龙、李佳栋、曲圣极、郭亮</w:t>
            </w:r>
          </w:p>
        </w:tc>
      </w:tr>
      <w:tr w14:paraId="66D978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5" w:hRule="atLeast"/>
        </w:trPr>
        <w:tc>
          <w:tcPr>
            <w:tcW w:w="1835" w:type="dxa"/>
            <w:vAlign w:val="center"/>
          </w:tcPr>
          <w:p w14:paraId="6DC17459">
            <w:pPr>
              <w:pStyle w:val="38"/>
              <w:jc w:val="center"/>
              <w:rPr>
                <w:rFonts w:hint="eastAsia"/>
                <w:b/>
                <w:bCs/>
                <w:sz w:val="20"/>
                <w:szCs w:val="21"/>
                <w:lang w:eastAsia="en-US"/>
              </w:rPr>
            </w:pPr>
            <w:r>
              <w:rPr>
                <w:b/>
                <w:bCs/>
                <w:spacing w:val="-2"/>
                <w:sz w:val="20"/>
                <w:szCs w:val="21"/>
                <w:lang w:eastAsia="en-US"/>
              </w:rPr>
              <w:t>主要完成单位</w:t>
            </w:r>
          </w:p>
        </w:tc>
        <w:tc>
          <w:tcPr>
            <w:tcW w:w="6455" w:type="dxa"/>
            <w:vAlign w:val="center"/>
          </w:tcPr>
          <w:p w14:paraId="319972E5">
            <w:pPr>
              <w:pStyle w:val="38"/>
              <w:jc w:val="center"/>
              <w:rPr>
                <w:rFonts w:hint="eastAsia" w:ascii="Times New Roman"/>
                <w:sz w:val="20"/>
                <w:szCs w:val="21"/>
                <w:lang w:eastAsia="zh-CN"/>
              </w:rPr>
            </w:pPr>
            <w:r>
              <w:rPr>
                <w:sz w:val="20"/>
                <w:szCs w:val="21"/>
                <w:lang w:eastAsia="zh-CN"/>
              </w:rPr>
              <w:t>沈阳师范大学</w:t>
            </w:r>
            <w:r>
              <w:rPr>
                <w:rFonts w:hint="eastAsia"/>
                <w:sz w:val="20"/>
                <w:szCs w:val="21"/>
                <w:lang w:eastAsia="zh-CN"/>
              </w:rPr>
              <w:t>、国家食品安全风险评估中心、</w:t>
            </w:r>
            <w:r>
              <w:rPr>
                <w:rFonts w:hint="eastAsia" w:ascii="Times New Roman" w:hAnsi="Times New Roman" w:cs="Times New Roman"/>
                <w:sz w:val="20"/>
                <w:szCs w:val="21"/>
                <w:lang w:eastAsia="zh-CN"/>
              </w:rPr>
              <w:t>中储粮辽宁质检中心有限公司、</w:t>
            </w:r>
            <w:r>
              <w:rPr>
                <w:sz w:val="20"/>
                <w:szCs w:val="21"/>
                <w:lang w:eastAsia="zh-CN"/>
              </w:rPr>
              <w:t>西北农林科技大学、</w:t>
            </w:r>
            <w:r>
              <w:rPr>
                <w:rFonts w:hint="eastAsia"/>
                <w:sz w:val="20"/>
                <w:szCs w:val="21"/>
                <w:lang w:eastAsia="zh-CN"/>
              </w:rPr>
              <w:t>中创益科（上海）生物科技有限公司、国</w:t>
            </w:r>
            <w:r>
              <w:rPr>
                <w:sz w:val="20"/>
                <w:szCs w:val="21"/>
                <w:lang w:eastAsia="zh-CN"/>
              </w:rPr>
              <w:t>家粮食和物资储备局科学研究院</w:t>
            </w:r>
          </w:p>
        </w:tc>
      </w:tr>
      <w:tr w14:paraId="0967E6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75" w:hRule="atLeast"/>
        </w:trPr>
        <w:tc>
          <w:tcPr>
            <w:tcW w:w="1835" w:type="dxa"/>
            <w:vAlign w:val="center"/>
          </w:tcPr>
          <w:p w14:paraId="3FF89677">
            <w:pPr>
              <w:pStyle w:val="38"/>
              <w:jc w:val="center"/>
              <w:rPr>
                <w:rFonts w:hint="eastAsia"/>
                <w:b/>
                <w:bCs/>
                <w:spacing w:val="-2"/>
                <w:sz w:val="20"/>
                <w:szCs w:val="21"/>
                <w:lang w:eastAsia="zh-CN"/>
              </w:rPr>
            </w:pPr>
            <w:r>
              <w:rPr>
                <w:rFonts w:hint="eastAsia"/>
                <w:sz w:val="20"/>
                <w:szCs w:val="21"/>
                <w:lang w:eastAsia="zh-CN"/>
              </w:rPr>
              <w:t>提名书相关内容</w:t>
            </w:r>
          </w:p>
        </w:tc>
        <w:tc>
          <w:tcPr>
            <w:tcW w:w="6455" w:type="dxa"/>
            <w:vAlign w:val="center"/>
          </w:tcPr>
          <w:p w14:paraId="3EB11D7C">
            <w:pPr>
              <w:pStyle w:val="38"/>
              <w:jc w:val="both"/>
              <w:rPr>
                <w:rFonts w:ascii="Times New Roman" w:hAnsi="Times New Roman" w:cs="Times New Roman"/>
                <w:b/>
                <w:bCs/>
                <w:sz w:val="18"/>
                <w:szCs w:val="20"/>
                <w:lang w:eastAsia="zh-CN"/>
              </w:rPr>
            </w:pPr>
            <w:r>
              <w:rPr>
                <w:rFonts w:ascii="Times New Roman" w:hAnsi="Times New Roman" w:cs="Times New Roman"/>
                <w:b/>
                <w:bCs/>
                <w:sz w:val="18"/>
                <w:szCs w:val="20"/>
                <w:lang w:eastAsia="zh-CN"/>
              </w:rPr>
              <w:t>主要知识产权和标准规范等目录</w:t>
            </w:r>
            <w:r>
              <w:rPr>
                <w:rFonts w:hint="eastAsia" w:ascii="Times New Roman" w:hAnsi="Times New Roman" w:cs="Times New Roman"/>
                <w:b/>
                <w:bCs/>
                <w:sz w:val="18"/>
                <w:szCs w:val="20"/>
                <w:lang w:eastAsia="zh-CN"/>
              </w:rPr>
              <w:t>：</w:t>
            </w:r>
          </w:p>
          <w:p w14:paraId="2BC4F81D">
            <w:pPr>
              <w:pStyle w:val="38"/>
              <w:jc w:val="both"/>
              <w:rPr>
                <w:rFonts w:ascii="Times New Roman" w:hAnsi="Times New Roman" w:cs="Times New Roman"/>
                <w:sz w:val="18"/>
                <w:szCs w:val="20"/>
                <w:lang w:eastAsia="zh-CN"/>
              </w:rPr>
            </w:pPr>
            <w:r>
              <w:rPr>
                <w:rFonts w:hint="eastAsia" w:ascii="Times New Roman" w:hAnsi="Times New Roman" w:cs="Times New Roman"/>
                <w:sz w:val="18"/>
                <w:szCs w:val="20"/>
                <w:lang w:eastAsia="zh-CN"/>
              </w:rPr>
              <w:t>1</w:t>
            </w:r>
            <w:r>
              <w:rPr>
                <w:rFonts w:ascii="Times New Roman" w:hAnsi="Times New Roman" w:cs="Times New Roman"/>
                <w:sz w:val="18"/>
                <w:szCs w:val="20"/>
                <w:lang w:eastAsia="zh-CN"/>
              </w:rPr>
              <w:t>. 杨庆余；李佳栋；徐显睿；刘鑫楠. 具有抗氧化和辅助降血糖功能的发酵红茶及其制备方法与应用，ZL202610015194.5</w:t>
            </w:r>
          </w:p>
          <w:p w14:paraId="3E6F30C0">
            <w:pPr>
              <w:pStyle w:val="38"/>
              <w:jc w:val="both"/>
              <w:rPr>
                <w:rFonts w:ascii="Times New Roman" w:hAnsi="Times New Roman" w:cs="Times New Roman"/>
                <w:sz w:val="18"/>
                <w:szCs w:val="20"/>
                <w:lang w:eastAsia="zh-CN"/>
              </w:rPr>
            </w:pPr>
            <w:r>
              <w:rPr>
                <w:rFonts w:hint="eastAsia" w:ascii="Times New Roman" w:hAnsi="Times New Roman" w:cs="Times New Roman"/>
                <w:sz w:val="18"/>
                <w:szCs w:val="20"/>
                <w:lang w:eastAsia="zh-CN"/>
              </w:rPr>
              <w:t>2</w:t>
            </w:r>
            <w:r>
              <w:rPr>
                <w:rFonts w:ascii="Times New Roman" w:hAnsi="Times New Roman" w:cs="Times New Roman"/>
                <w:sz w:val="18"/>
                <w:szCs w:val="20"/>
                <w:lang w:eastAsia="zh-CN"/>
              </w:rPr>
              <w:t>. 王建龙；舒蕊；刘思杰. 一种墨鱼汁天然纳米颗粒构建的双模式检测盐酸克伦特罗试纸条及其应用，ZL202210676327.5</w:t>
            </w:r>
          </w:p>
          <w:p w14:paraId="4AAE02C7">
            <w:pPr>
              <w:pStyle w:val="38"/>
              <w:jc w:val="both"/>
              <w:rPr>
                <w:rFonts w:ascii="Times New Roman" w:hAnsi="Times New Roman" w:cs="Times New Roman"/>
                <w:sz w:val="18"/>
                <w:szCs w:val="20"/>
                <w:lang w:eastAsia="zh-CN"/>
              </w:rPr>
            </w:pPr>
            <w:r>
              <w:rPr>
                <w:rFonts w:hint="eastAsia" w:ascii="Times New Roman" w:hAnsi="Times New Roman" w:cs="Times New Roman"/>
                <w:sz w:val="18"/>
                <w:szCs w:val="20"/>
                <w:lang w:eastAsia="zh-CN"/>
              </w:rPr>
              <w:t>3</w:t>
            </w:r>
            <w:r>
              <w:rPr>
                <w:rFonts w:ascii="Times New Roman" w:hAnsi="Times New Roman" w:cs="Times New Roman"/>
                <w:sz w:val="18"/>
                <w:szCs w:val="20"/>
                <w:lang w:eastAsia="zh-CN"/>
              </w:rPr>
              <w:t>. 崔华；王松山；陈梦泽. 一种基于MIRA快速检测产DON镰刀菌的引物探针组合物、试剂盒及应用，ZL202411562404.X</w:t>
            </w:r>
          </w:p>
          <w:p w14:paraId="10AD5BA5">
            <w:pPr>
              <w:pStyle w:val="38"/>
              <w:jc w:val="both"/>
              <w:rPr>
                <w:rFonts w:ascii="Times New Roman" w:hAnsi="Times New Roman" w:cs="Times New Roman"/>
                <w:sz w:val="18"/>
                <w:szCs w:val="20"/>
                <w:lang w:eastAsia="zh-CN"/>
              </w:rPr>
            </w:pPr>
            <w:r>
              <w:rPr>
                <w:rFonts w:hint="eastAsia" w:ascii="Times New Roman" w:hAnsi="Times New Roman" w:cs="Times New Roman"/>
                <w:sz w:val="18"/>
                <w:szCs w:val="20"/>
                <w:lang w:eastAsia="zh-CN"/>
              </w:rPr>
              <w:t>4</w:t>
            </w:r>
            <w:r>
              <w:rPr>
                <w:rFonts w:ascii="Times New Roman" w:hAnsi="Times New Roman" w:cs="Times New Roman"/>
                <w:sz w:val="18"/>
                <w:szCs w:val="20"/>
                <w:lang w:eastAsia="zh-CN"/>
              </w:rPr>
              <w:t>. 张道宏；殷雪驰；王建龙；邵晨；王承克；杜超. 一种非晶态MOF介导的级联抗体定向探针及其制备方法与应用，ZL202310253387.0</w:t>
            </w:r>
          </w:p>
          <w:p w14:paraId="65A18A21">
            <w:pPr>
              <w:pStyle w:val="38"/>
              <w:jc w:val="both"/>
              <w:rPr>
                <w:rFonts w:ascii="Times New Roman" w:hAnsi="Times New Roman" w:cs="Times New Roman"/>
                <w:sz w:val="18"/>
                <w:szCs w:val="20"/>
                <w:lang w:eastAsia="zh-CN"/>
              </w:rPr>
            </w:pPr>
            <w:r>
              <w:rPr>
                <w:rFonts w:hint="eastAsia" w:ascii="Times New Roman" w:hAnsi="Times New Roman" w:cs="Times New Roman"/>
                <w:sz w:val="18"/>
                <w:szCs w:val="20"/>
                <w:lang w:eastAsia="zh-CN"/>
              </w:rPr>
              <w:t>5</w:t>
            </w:r>
            <w:r>
              <w:rPr>
                <w:rFonts w:ascii="Times New Roman" w:hAnsi="Times New Roman" w:cs="Times New Roman"/>
                <w:sz w:val="18"/>
                <w:szCs w:val="20"/>
                <w:lang w:eastAsia="zh-CN"/>
              </w:rPr>
              <w:t>. 骆鹏杰；赵云峰；李敬光；邱楠楠；苗宏健；陈霞；刘卿. 酶联免疫吸附法封闭溶液、制备方法、应用及具有其的试剂盒，ZL201810352736.3</w:t>
            </w:r>
          </w:p>
          <w:p w14:paraId="013CEEE1">
            <w:pPr>
              <w:pStyle w:val="38"/>
              <w:jc w:val="both"/>
              <w:rPr>
                <w:rFonts w:ascii="Times New Roman" w:hAnsi="Times New Roman" w:cs="Times New Roman"/>
                <w:b/>
                <w:sz w:val="18"/>
                <w:szCs w:val="20"/>
                <w:lang w:eastAsia="zh-CN"/>
              </w:rPr>
            </w:pPr>
            <w:r>
              <w:rPr>
                <w:rFonts w:ascii="Times New Roman" w:hAnsi="Times New Roman" w:cs="Times New Roman"/>
                <w:b/>
                <w:sz w:val="18"/>
                <w:szCs w:val="20"/>
                <w:lang w:eastAsia="zh-CN"/>
              </w:rPr>
              <w:t>代表性论文专著目录：</w:t>
            </w:r>
          </w:p>
          <w:p w14:paraId="19A4EDE1">
            <w:pPr>
              <w:pStyle w:val="38"/>
              <w:jc w:val="both"/>
              <w:rPr>
                <w:rFonts w:ascii="Times New Roman" w:hAnsi="Times New Roman" w:cs="Times New Roman"/>
                <w:sz w:val="18"/>
                <w:szCs w:val="20"/>
                <w:lang w:eastAsia="en-US"/>
              </w:rPr>
            </w:pPr>
            <w:r>
              <w:rPr>
                <w:rFonts w:ascii="Times New Roman" w:hAnsi="Times New Roman" w:cs="Times New Roman"/>
                <w:sz w:val="18"/>
                <w:szCs w:val="20"/>
                <w:lang w:eastAsia="zh-CN"/>
              </w:rPr>
              <w:t>1</w:t>
            </w:r>
            <w:r>
              <w:rPr>
                <w:rFonts w:ascii="Times New Roman" w:hAnsi="Times New Roman" w:cs="Times New Roman"/>
                <w:sz w:val="18"/>
                <w:szCs w:val="20"/>
                <w:lang w:eastAsia="en-US"/>
              </w:rPr>
              <w:t>. Yiya Ping, Liang Zhang, Wenze Wang, Meilin Wang, Linpin Luo, Ting Du, Xiaoyue Yue, Qingyu Yang, Mingqiang Zhu, Jianlong Wang*. Visible light-driven multichannel concerted antibacterial films with Photodynamically enhanced self-cascading Chemodynamic actions for long-term preservation of perishable food, Food Chemistry, 2025, 470: 142787</w:t>
            </w:r>
          </w:p>
          <w:p w14:paraId="674696CC">
            <w:pPr>
              <w:pStyle w:val="38"/>
              <w:jc w:val="both"/>
              <w:rPr>
                <w:rFonts w:ascii="Times New Roman" w:hAnsi="Times New Roman" w:cs="Times New Roman"/>
                <w:sz w:val="18"/>
                <w:szCs w:val="20"/>
                <w:lang w:eastAsia="en-US"/>
              </w:rPr>
            </w:pPr>
            <w:r>
              <w:rPr>
                <w:rFonts w:hint="eastAsia" w:ascii="Times New Roman" w:hAnsi="Times New Roman" w:cs="Times New Roman"/>
                <w:sz w:val="18"/>
                <w:szCs w:val="20"/>
                <w:lang w:eastAsia="zh-CN"/>
              </w:rPr>
              <w:t>2</w:t>
            </w:r>
            <w:r>
              <w:rPr>
                <w:rFonts w:ascii="Times New Roman" w:hAnsi="Times New Roman" w:cs="Times New Roman"/>
                <w:sz w:val="18"/>
                <w:szCs w:val="20"/>
                <w:lang w:eastAsia="zh-CN"/>
              </w:rPr>
              <w:t>.</w:t>
            </w:r>
            <w:r>
              <w:rPr>
                <w:rFonts w:ascii="Times New Roman" w:hAnsi="Times New Roman" w:cs="Times New Roman"/>
                <w:sz w:val="18"/>
                <w:szCs w:val="20"/>
                <w:lang w:eastAsia="en-US"/>
              </w:rPr>
              <w:t>Liang Zhang, Wen He, Puyuan Hu, Wenze Wang, Linpin Luo, Bingzhi Li, Bing Pan, Wenxin Zhu, Yanru Wang, Jianlong Wang*. Self-assembly technology engineering multi-functional slow-release packaging system with self-starting program for prolonged preservation of perishable products, Food Hydrocolloids, 2024, 155: 110230</w:t>
            </w:r>
          </w:p>
          <w:p w14:paraId="1A13EF15">
            <w:pPr>
              <w:pStyle w:val="38"/>
              <w:jc w:val="both"/>
              <w:rPr>
                <w:rFonts w:ascii="Times New Roman" w:hAnsi="Times New Roman" w:cs="Times New Roman"/>
                <w:sz w:val="18"/>
                <w:szCs w:val="20"/>
                <w:lang w:eastAsia="zh-CN"/>
              </w:rPr>
            </w:pPr>
            <w:r>
              <w:rPr>
                <w:rFonts w:hint="eastAsia" w:ascii="Times New Roman" w:hAnsi="Times New Roman" w:cs="Times New Roman"/>
                <w:sz w:val="18"/>
                <w:szCs w:val="20"/>
                <w:lang w:eastAsia="zh-CN"/>
              </w:rPr>
              <w:t>3.</w:t>
            </w:r>
            <w:r>
              <w:rPr>
                <w:rFonts w:ascii="Times New Roman" w:hAnsi="Times New Roman" w:cs="Times New Roman"/>
                <w:sz w:val="18"/>
                <w:szCs w:val="20"/>
                <w:lang w:eastAsia="en-US"/>
              </w:rPr>
              <w:t>Zixian He, Zhiwei Liu, Haihuan Xie, Pengjie Luo*, Xiangmei Li*. An Ultrasensitive Lateral Flow Immunoassay Based on Metal-Organic Framework-Decorated Polydopamine for Multiple Sulfonylureas Adulteration in Functional Foods, Foods, 2023, 12: 539</w:t>
            </w:r>
          </w:p>
          <w:p w14:paraId="09C7C80E">
            <w:pPr>
              <w:pStyle w:val="38"/>
              <w:jc w:val="both"/>
              <w:rPr>
                <w:rFonts w:ascii="Times New Roman" w:hAnsi="Times New Roman" w:cs="Times New Roman"/>
                <w:sz w:val="18"/>
                <w:szCs w:val="20"/>
                <w:lang w:eastAsia="zh-CN"/>
              </w:rPr>
            </w:pPr>
            <w:r>
              <w:rPr>
                <w:rFonts w:ascii="Times New Roman" w:hAnsi="Times New Roman" w:cs="Times New Roman"/>
                <w:sz w:val="18"/>
                <w:szCs w:val="20"/>
                <w:lang w:eastAsia="zh-CN"/>
              </w:rPr>
              <w:t>4. 崔华, 陈梦泽, 高树青, 王松山, 李森, 吴宇, 李丽, 叶金, 王松雪*. 脱氧雪腐镰刀菌烯醇污染风险现场快速检测系统的建立, 食品安全质量检测学报, 2025, 16(3): 17-24</w:t>
            </w:r>
          </w:p>
          <w:p w14:paraId="5052893E">
            <w:pPr>
              <w:pStyle w:val="38"/>
              <w:jc w:val="both"/>
              <w:rPr>
                <w:rFonts w:ascii="Times New Roman" w:hAnsi="Times New Roman" w:cs="Times New Roman"/>
                <w:sz w:val="18"/>
                <w:szCs w:val="20"/>
                <w:lang w:eastAsia="zh-CN"/>
              </w:rPr>
            </w:pPr>
            <w:r>
              <w:rPr>
                <w:rFonts w:ascii="Times New Roman" w:hAnsi="Times New Roman" w:cs="Times New Roman"/>
                <w:sz w:val="18"/>
                <w:szCs w:val="20"/>
                <w:lang w:eastAsia="zh-CN"/>
              </w:rPr>
              <w:t>5. 纪立波, 赵东霞, 顾雨熹, 陈帅, 唐芳, 刘洋, 郭亮, 谭林, 曲圣极, 陈晋莹. 新收获玉米不同霉斑颜色生霉粒与真菌毒素污染情况及优势菌研究, 食品安全质量检测学报, 2024, 15(15): 25-34</w:t>
            </w:r>
          </w:p>
        </w:tc>
      </w:tr>
    </w:tbl>
    <w:p w14:paraId="2E1DF2C1">
      <w:pPr>
        <w:widowControl/>
        <w:rPr>
          <w:rFonts w:hint="eastAsia" w:ascii="仿宋_GB2312" w:eastAsia="仿宋_GB2312"/>
          <w:sz w:val="32"/>
          <w:szCs w:val="32"/>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3279"/>
    <w:rsid w:val="00050EAC"/>
    <w:rsid w:val="000803BD"/>
    <w:rsid w:val="000F13EB"/>
    <w:rsid w:val="00165F14"/>
    <w:rsid w:val="001B2860"/>
    <w:rsid w:val="003E0A02"/>
    <w:rsid w:val="00461957"/>
    <w:rsid w:val="00510F78"/>
    <w:rsid w:val="0065524D"/>
    <w:rsid w:val="00656392"/>
    <w:rsid w:val="007471EA"/>
    <w:rsid w:val="007B6160"/>
    <w:rsid w:val="008B6AC9"/>
    <w:rsid w:val="00922E63"/>
    <w:rsid w:val="00A86C7A"/>
    <w:rsid w:val="00AB58CE"/>
    <w:rsid w:val="00B248F2"/>
    <w:rsid w:val="00B70EA8"/>
    <w:rsid w:val="00BA763F"/>
    <w:rsid w:val="00BC5917"/>
    <w:rsid w:val="00BE595C"/>
    <w:rsid w:val="00C974AF"/>
    <w:rsid w:val="00D470B8"/>
    <w:rsid w:val="00D73279"/>
    <w:rsid w:val="00DC2E6B"/>
    <w:rsid w:val="00E324DA"/>
    <w:rsid w:val="00E96C32"/>
    <w:rsid w:val="00EC7CB2"/>
    <w:rsid w:val="00EF0A2F"/>
    <w:rsid w:val="00F04504"/>
    <w:rsid w:val="00F334F9"/>
    <w:rsid w:val="00F41DC3"/>
    <w:rsid w:val="00F471A0"/>
    <w:rsid w:val="27DF6B25"/>
    <w:rsid w:val="500E5D9B"/>
    <w:rsid w:val="79CC2A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styleId="2">
    <w:name w:val="heading 1"/>
    <w:basedOn w:val="1"/>
    <w:next w:val="1"/>
    <w:link w:val="19"/>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20"/>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21"/>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2"/>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3"/>
    <w:semiHidden/>
    <w:unhideWhenUsed/>
    <w:qFormat/>
    <w:uiPriority w:val="9"/>
    <w:pPr>
      <w:keepNext/>
      <w:keepLines/>
      <w:spacing w:before="80" w:after="40"/>
      <w:outlineLvl w:val="4"/>
    </w:pPr>
    <w:rPr>
      <w:rFonts w:cstheme="majorBidi"/>
      <w:color w:val="104862" w:themeColor="accent1" w:themeShade="BF"/>
      <w:sz w:val="24"/>
    </w:rPr>
  </w:style>
  <w:style w:type="paragraph" w:styleId="7">
    <w:name w:val="heading 6"/>
    <w:basedOn w:val="1"/>
    <w:next w:val="1"/>
    <w:link w:val="24"/>
    <w:semiHidden/>
    <w:unhideWhenUsed/>
    <w:qFormat/>
    <w:uiPriority w:val="9"/>
    <w:pPr>
      <w:keepNext/>
      <w:keepLines/>
      <w:spacing w:before="40" w:after="0"/>
      <w:outlineLvl w:val="5"/>
    </w:pPr>
    <w:rPr>
      <w:rFonts w:cstheme="majorBidi"/>
      <w:b/>
      <w:bCs/>
      <w:color w:val="104862" w:themeColor="accent1" w:themeShade="BF"/>
    </w:rPr>
  </w:style>
  <w:style w:type="paragraph" w:styleId="8">
    <w:name w:val="heading 7"/>
    <w:basedOn w:val="1"/>
    <w:next w:val="1"/>
    <w:link w:val="25"/>
    <w:semiHidden/>
    <w:unhideWhenUsed/>
    <w:qFormat/>
    <w:uiPriority w:val="9"/>
    <w:pPr>
      <w:keepNext/>
      <w:keepLines/>
      <w:spacing w:before="40" w:after="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6"/>
    <w:semiHidden/>
    <w:unhideWhenUsed/>
    <w:qFormat/>
    <w:uiPriority w:val="9"/>
    <w:pPr>
      <w:keepNext/>
      <w:keepLines/>
      <w:spacing w:after="0"/>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7"/>
    <w:semiHidden/>
    <w:unhideWhenUsed/>
    <w:qFormat/>
    <w:uiPriority w:val="9"/>
    <w:pPr>
      <w:keepNext/>
      <w:keepLines/>
      <w:spacing w:after="0"/>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11">
    <w:name w:val="Plain Text"/>
    <w:basedOn w:val="1"/>
    <w:link w:val="39"/>
    <w:qFormat/>
    <w:uiPriority w:val="0"/>
    <w:pPr>
      <w:spacing w:after="0" w:line="360" w:lineRule="auto"/>
      <w:ind w:firstLine="480" w:firstLineChars="200"/>
      <w:jc w:val="both"/>
    </w:pPr>
    <w:rPr>
      <w:rFonts w:ascii="仿宋_GB2312" w:hAnsi="Times New Roman" w:eastAsia="宋体" w:cs="Times New Roman"/>
      <w:sz w:val="24"/>
      <w:szCs w:val="20"/>
      <w14:ligatures w14:val="none"/>
    </w:rPr>
  </w:style>
  <w:style w:type="paragraph" w:styleId="12">
    <w:name w:val="footer"/>
    <w:basedOn w:val="1"/>
    <w:link w:val="41"/>
    <w:unhideWhenUsed/>
    <w:qFormat/>
    <w:uiPriority w:val="99"/>
    <w:pPr>
      <w:tabs>
        <w:tab w:val="center" w:pos="4153"/>
        <w:tab w:val="right" w:pos="8306"/>
      </w:tabs>
      <w:snapToGrid w:val="0"/>
      <w:spacing w:line="240" w:lineRule="auto"/>
    </w:pPr>
    <w:rPr>
      <w:sz w:val="18"/>
      <w:szCs w:val="18"/>
    </w:rPr>
  </w:style>
  <w:style w:type="paragraph" w:styleId="13">
    <w:name w:val="header"/>
    <w:basedOn w:val="1"/>
    <w:link w:val="40"/>
    <w:unhideWhenUsed/>
    <w:qFormat/>
    <w:uiPriority w:val="99"/>
    <w:pPr>
      <w:tabs>
        <w:tab w:val="center" w:pos="4153"/>
        <w:tab w:val="right" w:pos="8306"/>
      </w:tabs>
      <w:snapToGrid w:val="0"/>
      <w:spacing w:line="240" w:lineRule="auto"/>
      <w:jc w:val="center"/>
    </w:pPr>
    <w:rPr>
      <w:sz w:val="18"/>
      <w:szCs w:val="18"/>
    </w:rPr>
  </w:style>
  <w:style w:type="paragraph" w:styleId="14">
    <w:name w:val="Subtitle"/>
    <w:basedOn w:val="1"/>
    <w:next w:val="1"/>
    <w:link w:val="29"/>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5">
    <w:name w:val="Title"/>
    <w:basedOn w:val="1"/>
    <w:next w:val="1"/>
    <w:link w:val="28"/>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character" w:styleId="18">
    <w:name w:val="Hyperlink"/>
    <w:basedOn w:val="17"/>
    <w:unhideWhenUsed/>
    <w:qFormat/>
    <w:uiPriority w:val="99"/>
    <w:rPr>
      <w:color w:val="467886" w:themeColor="hyperlink"/>
      <w:u w:val="single"/>
      <w14:textFill>
        <w14:solidFill>
          <w14:schemeClr w14:val="hlink"/>
        </w14:solidFill>
      </w14:textFill>
    </w:rPr>
  </w:style>
  <w:style w:type="character" w:customStyle="1" w:styleId="19">
    <w:name w:val="标题 1 字符"/>
    <w:basedOn w:val="17"/>
    <w:link w:val="2"/>
    <w:qFormat/>
    <w:uiPriority w:val="9"/>
    <w:rPr>
      <w:rFonts w:asciiTheme="majorHAnsi" w:hAnsiTheme="majorHAnsi" w:eastAsiaTheme="majorEastAsia" w:cstheme="majorBidi"/>
      <w:color w:val="104862" w:themeColor="accent1" w:themeShade="BF"/>
      <w:sz w:val="48"/>
      <w:szCs w:val="48"/>
    </w:rPr>
  </w:style>
  <w:style w:type="character" w:customStyle="1" w:styleId="20">
    <w:name w:val="标题 2 字符"/>
    <w:basedOn w:val="17"/>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21">
    <w:name w:val="标题 3 字符"/>
    <w:basedOn w:val="17"/>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22">
    <w:name w:val="标题 4 字符"/>
    <w:basedOn w:val="17"/>
    <w:link w:val="5"/>
    <w:semiHidden/>
    <w:qFormat/>
    <w:uiPriority w:val="9"/>
    <w:rPr>
      <w:rFonts w:cstheme="majorBidi"/>
      <w:color w:val="104862" w:themeColor="accent1" w:themeShade="BF"/>
      <w:sz w:val="28"/>
      <w:szCs w:val="28"/>
    </w:rPr>
  </w:style>
  <w:style w:type="character" w:customStyle="1" w:styleId="23">
    <w:name w:val="标题 5 字符"/>
    <w:basedOn w:val="17"/>
    <w:link w:val="6"/>
    <w:semiHidden/>
    <w:qFormat/>
    <w:uiPriority w:val="9"/>
    <w:rPr>
      <w:rFonts w:cstheme="majorBidi"/>
      <w:color w:val="104862" w:themeColor="accent1" w:themeShade="BF"/>
      <w:sz w:val="24"/>
    </w:rPr>
  </w:style>
  <w:style w:type="character" w:customStyle="1" w:styleId="24">
    <w:name w:val="标题 6 字符"/>
    <w:basedOn w:val="17"/>
    <w:link w:val="7"/>
    <w:semiHidden/>
    <w:qFormat/>
    <w:uiPriority w:val="9"/>
    <w:rPr>
      <w:rFonts w:cstheme="majorBidi"/>
      <w:b/>
      <w:bCs/>
      <w:color w:val="104862" w:themeColor="accent1" w:themeShade="BF"/>
    </w:rPr>
  </w:style>
  <w:style w:type="character" w:customStyle="1" w:styleId="25">
    <w:name w:val="标题 7 字符"/>
    <w:basedOn w:val="17"/>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6">
    <w:name w:val="标题 8 字符"/>
    <w:basedOn w:val="17"/>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7">
    <w:name w:val="标题 9 字符"/>
    <w:basedOn w:val="17"/>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8">
    <w:name w:val="标题 字符"/>
    <w:basedOn w:val="17"/>
    <w:link w:val="15"/>
    <w:qFormat/>
    <w:uiPriority w:val="10"/>
    <w:rPr>
      <w:rFonts w:asciiTheme="majorHAnsi" w:hAnsiTheme="majorHAnsi" w:eastAsiaTheme="majorEastAsia" w:cstheme="majorBidi"/>
      <w:spacing w:val="-10"/>
      <w:kern w:val="28"/>
      <w:sz w:val="56"/>
      <w:szCs w:val="56"/>
    </w:rPr>
  </w:style>
  <w:style w:type="character" w:customStyle="1" w:styleId="29">
    <w:name w:val="副标题 字符"/>
    <w:basedOn w:val="17"/>
    <w:link w:val="14"/>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0">
    <w:name w:val="Quote"/>
    <w:basedOn w:val="1"/>
    <w:next w:val="1"/>
    <w:link w:val="31"/>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1">
    <w:name w:val="引用 字符"/>
    <w:basedOn w:val="17"/>
    <w:link w:val="30"/>
    <w:qFormat/>
    <w:uiPriority w:val="29"/>
    <w:rPr>
      <w:i/>
      <w:iCs/>
      <w:color w:val="404040" w:themeColor="text1" w:themeTint="BF"/>
      <w14:textFill>
        <w14:solidFill>
          <w14:schemeClr w14:val="tx1">
            <w14:lumMod w14:val="75000"/>
            <w14:lumOff w14:val="25000"/>
          </w14:schemeClr>
        </w14:solidFill>
      </w14:textFill>
    </w:rPr>
  </w:style>
  <w:style w:type="paragraph" w:styleId="32">
    <w:name w:val="List Paragraph"/>
    <w:basedOn w:val="1"/>
    <w:qFormat/>
    <w:uiPriority w:val="34"/>
    <w:pPr>
      <w:ind w:left="720"/>
      <w:contextualSpacing/>
    </w:pPr>
  </w:style>
  <w:style w:type="character" w:customStyle="1" w:styleId="33">
    <w:name w:val="Intense Emphasis"/>
    <w:basedOn w:val="17"/>
    <w:qFormat/>
    <w:uiPriority w:val="21"/>
    <w:rPr>
      <w:i/>
      <w:iCs/>
      <w:color w:val="104862" w:themeColor="accent1" w:themeShade="BF"/>
    </w:rPr>
  </w:style>
  <w:style w:type="paragraph" w:styleId="34">
    <w:name w:val="Intense Quote"/>
    <w:basedOn w:val="1"/>
    <w:next w:val="1"/>
    <w:link w:val="35"/>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5">
    <w:name w:val="明显引用 字符"/>
    <w:basedOn w:val="17"/>
    <w:link w:val="34"/>
    <w:qFormat/>
    <w:uiPriority w:val="30"/>
    <w:rPr>
      <w:i/>
      <w:iCs/>
      <w:color w:val="104862" w:themeColor="accent1" w:themeShade="BF"/>
    </w:rPr>
  </w:style>
  <w:style w:type="character" w:customStyle="1" w:styleId="36">
    <w:name w:val="Intense Reference"/>
    <w:basedOn w:val="17"/>
    <w:qFormat/>
    <w:uiPriority w:val="32"/>
    <w:rPr>
      <w:b/>
      <w:bCs/>
      <w:smallCaps/>
      <w:color w:val="104862" w:themeColor="accent1" w:themeShade="BF"/>
      <w:spacing w:val="5"/>
    </w:rPr>
  </w:style>
  <w:style w:type="table" w:customStyle="1" w:styleId="37">
    <w:name w:val="Table Normal"/>
    <w:semiHidden/>
    <w:unhideWhenUsed/>
    <w:qFormat/>
    <w:uiPriority w:val="2"/>
    <w:pPr>
      <w:widowControl w:val="0"/>
      <w:autoSpaceDE w:val="0"/>
      <w:autoSpaceDN w:val="0"/>
      <w:spacing w:after="0" w:line="240" w:lineRule="auto"/>
    </w:pPr>
    <w:rPr>
      <w:kern w:val="0"/>
      <w:szCs w:val="22"/>
      <w:lang w:eastAsia="en-US"/>
      <w14:ligatures w14:val="none"/>
    </w:rPr>
    <w:tblPr>
      <w:tblCellMar>
        <w:top w:w="0" w:type="dxa"/>
        <w:left w:w="0" w:type="dxa"/>
        <w:bottom w:w="0" w:type="dxa"/>
        <w:right w:w="0" w:type="dxa"/>
      </w:tblCellMar>
    </w:tblPr>
  </w:style>
  <w:style w:type="paragraph" w:customStyle="1" w:styleId="38">
    <w:name w:val="Table Paragraph"/>
    <w:basedOn w:val="1"/>
    <w:qFormat/>
    <w:uiPriority w:val="1"/>
    <w:pPr>
      <w:autoSpaceDE w:val="0"/>
      <w:autoSpaceDN w:val="0"/>
      <w:spacing w:after="0" w:line="240" w:lineRule="auto"/>
    </w:pPr>
    <w:rPr>
      <w:rFonts w:ascii="宋体" w:hAnsi="宋体" w:eastAsia="宋体" w:cs="宋体"/>
      <w:kern w:val="0"/>
      <w:szCs w:val="22"/>
      <w14:ligatures w14:val="none"/>
    </w:rPr>
  </w:style>
  <w:style w:type="character" w:customStyle="1" w:styleId="39">
    <w:name w:val="纯文本 字符"/>
    <w:basedOn w:val="17"/>
    <w:link w:val="11"/>
    <w:qFormat/>
    <w:uiPriority w:val="0"/>
    <w:rPr>
      <w:rFonts w:ascii="仿宋_GB2312" w:hAnsi="Times New Roman" w:eastAsia="宋体" w:cs="Times New Roman"/>
      <w:sz w:val="24"/>
      <w:szCs w:val="20"/>
      <w14:ligatures w14:val="none"/>
    </w:rPr>
  </w:style>
  <w:style w:type="character" w:customStyle="1" w:styleId="40">
    <w:name w:val="页眉 字符"/>
    <w:basedOn w:val="17"/>
    <w:link w:val="13"/>
    <w:qFormat/>
    <w:uiPriority w:val="99"/>
    <w:rPr>
      <w:sz w:val="18"/>
      <w:szCs w:val="18"/>
    </w:rPr>
  </w:style>
  <w:style w:type="character" w:customStyle="1" w:styleId="41">
    <w:name w:val="页脚 字符"/>
    <w:basedOn w:val="17"/>
    <w:link w:val="12"/>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theme>
</file>

<file path=docProps/app.xml><?xml version="1.0" encoding="utf-8"?>
<Properties xmlns="http://schemas.openxmlformats.org/officeDocument/2006/extended-properties" xmlns:vt="http://schemas.openxmlformats.org/officeDocument/2006/docPropsVTypes">
  <Template>Normal</Template>
  <Pages>1</Pages>
  <Words>1030</Words>
  <Characters>1878</Characters>
  <Lines>47</Lines>
  <Paragraphs>33</Paragraphs>
  <TotalTime>23</TotalTime>
  <ScaleCrop>false</ScaleCrop>
  <LinksUpToDate>false</LinksUpToDate>
  <CharactersWithSpaces>2039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2026-08-20T10:42:00Z</dcterms:created>
  <dc:creator>xinnan liu</dc:creator>
  <cp:lastModifiedBy>兔八哥</cp:lastModifiedBy>
  <dcterms:modified xsi:type="dcterms:W3CDTF">2026-08-21T02:39:56Z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eyJoZGlkIjoiODNjZTk0NTk2M2E0MTc5ZjU1ZDdhZmQxMjJlMzdmZTciLCJ1c2VySWQiOiIzNjY4OTk1MjIifQ==</vt:lpwstr>
  </property>
  <property fmtid="{D5CDD505-2E9C-101B-9397-08002B2CF9AE}" pid="3" name="KSOProductBuildVer">
    <vt:lpwstr>2052-12.1.0.28043</vt:lpwstr>
  </property>
  <property fmtid="{D5CDD505-2E9C-101B-9397-08002B2CF9AE}" pid="4" name="ICV">
    <vt:lpwstr>AA9D47134F8A434BAEF02055DE6D734C_12</vt:lpwstr>
  </property>
</Properties>
</file>