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59294">
      <w:pPr>
        <w:pStyle w:val="15"/>
        <w:jc w:val="left"/>
        <w:rPr>
          <w:rFonts w:hint="eastAsia" w:ascii="黑体" w:hAnsi="黑体" w:eastAsia="黑体"/>
          <w:sz w:val="32"/>
          <w:szCs w:val="32"/>
        </w:rPr>
      </w:pPr>
      <w:bookmarkStart w:id="2" w:name="_GoBack"/>
      <w:bookmarkEnd w:id="2"/>
      <w:r>
        <w:rPr>
          <w:rFonts w:hint="eastAsia" w:ascii="黑体" w:hAnsi="黑体" w:eastAsia="黑体"/>
          <w:sz w:val="32"/>
          <w:szCs w:val="32"/>
        </w:rPr>
        <w:t>附件1</w:t>
      </w:r>
    </w:p>
    <w:p w14:paraId="38EEF3DE">
      <w:pPr>
        <w:pStyle w:val="15"/>
      </w:pPr>
      <w:bookmarkStart w:id="0" w:name="OLE_LINK1"/>
      <w:r>
        <w:rPr>
          <w:rFonts w:hint="eastAsia"/>
        </w:rPr>
        <w:t>中国检验检测学会</w:t>
      </w:r>
      <w:bookmarkEnd w:id="0"/>
      <w:r>
        <w:rPr>
          <w:rFonts w:hint="eastAsia"/>
        </w:rPr>
        <w:t>科学技术奖公示材料</w:t>
      </w:r>
    </w:p>
    <w:tbl>
      <w:tblPr>
        <w:tblStyle w:val="4"/>
        <w:tblW w:w="92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488"/>
        <w:gridCol w:w="2378"/>
        <w:gridCol w:w="1592"/>
        <w:gridCol w:w="2364"/>
      </w:tblGrid>
      <w:tr w14:paraId="338EF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9214" w:type="dxa"/>
            <w:gridSpan w:val="6"/>
            <w:vAlign w:val="center"/>
          </w:tcPr>
          <w:p w14:paraId="5849E1A2">
            <w:pPr>
              <w:pStyle w:val="9"/>
              <w:spacing w:line="390" w:lineRule="exact"/>
              <w:ind w:firstLine="0" w:firstLineChars="0"/>
              <w:rPr>
                <w:rFonts w:ascii="Times New Roman"/>
                <w:b/>
                <w:color w:val="0D0D0D"/>
                <w:szCs w:val="24"/>
              </w:rPr>
            </w:pPr>
            <w:r>
              <w:rPr>
                <w:rFonts w:hint="eastAsia" w:ascii="Times New Roman"/>
                <w:b/>
                <w:color w:val="0D0D0D"/>
                <w:szCs w:val="24"/>
              </w:rPr>
              <w:t>一、基本信息</w:t>
            </w:r>
          </w:p>
        </w:tc>
      </w:tr>
      <w:tr w14:paraId="02EB2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116" w:type="dxa"/>
            <w:vMerge w:val="restart"/>
            <w:vAlign w:val="center"/>
          </w:tcPr>
          <w:p w14:paraId="275EDB65">
            <w:pPr>
              <w:pStyle w:val="9"/>
              <w:spacing w:line="390" w:lineRule="exact"/>
              <w:ind w:firstLine="0" w:firstLineChars="0"/>
              <w:jc w:val="center"/>
              <w:rPr>
                <w:rFonts w:ascii="Times New Roman"/>
                <w:sz w:val="21"/>
              </w:rPr>
            </w:pPr>
            <w:r>
              <w:rPr>
                <w:rFonts w:hint="eastAsia" w:ascii="Times New Roman"/>
                <w:sz w:val="21"/>
              </w:rPr>
              <w:t>项目</w:t>
            </w:r>
          </w:p>
          <w:p w14:paraId="3DD9FEF8">
            <w:pPr>
              <w:pStyle w:val="9"/>
              <w:spacing w:line="390" w:lineRule="exact"/>
              <w:ind w:firstLine="0" w:firstLineChars="0"/>
              <w:jc w:val="center"/>
              <w:rPr>
                <w:rFonts w:ascii="Times New Roman"/>
                <w:sz w:val="21"/>
              </w:rPr>
            </w:pPr>
            <w:r>
              <w:rPr>
                <w:rFonts w:ascii="Times New Roman"/>
                <w:sz w:val="21"/>
              </w:rPr>
              <w:t>名称</w:t>
            </w:r>
          </w:p>
        </w:tc>
        <w:tc>
          <w:tcPr>
            <w:tcW w:w="1276" w:type="dxa"/>
            <w:vAlign w:val="center"/>
          </w:tcPr>
          <w:p w14:paraId="1D318876">
            <w:pPr>
              <w:pStyle w:val="9"/>
              <w:spacing w:line="240" w:lineRule="auto"/>
              <w:ind w:firstLine="0" w:firstLineChars="0"/>
              <w:jc w:val="center"/>
              <w:rPr>
                <w:rFonts w:ascii="Times New Roman"/>
                <w:sz w:val="21"/>
              </w:rPr>
            </w:pPr>
            <w:r>
              <w:rPr>
                <w:rFonts w:hint="eastAsia" w:ascii="Times New Roman"/>
                <w:sz w:val="21"/>
              </w:rPr>
              <w:t>中文</w:t>
            </w:r>
          </w:p>
        </w:tc>
        <w:tc>
          <w:tcPr>
            <w:tcW w:w="6822" w:type="dxa"/>
            <w:gridSpan w:val="4"/>
          </w:tcPr>
          <w:p w14:paraId="24DB9869">
            <w:pPr>
              <w:pStyle w:val="9"/>
              <w:spacing w:line="390" w:lineRule="exact"/>
              <w:ind w:firstLine="0" w:firstLineChars="0"/>
              <w:jc w:val="center"/>
              <w:rPr>
                <w:rFonts w:ascii="Times New Roman"/>
                <w:sz w:val="21"/>
              </w:rPr>
            </w:pPr>
            <w:r>
              <w:rPr>
                <w:rFonts w:hint="eastAsia" w:ascii="Times New Roman"/>
                <w:sz w:val="21"/>
              </w:rPr>
              <w:t>食源性病原微生物检测溯源综合技术方案和标准化体系集成开发</w:t>
            </w:r>
          </w:p>
        </w:tc>
      </w:tr>
      <w:tr w14:paraId="02148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116" w:type="dxa"/>
            <w:vMerge w:val="continue"/>
          </w:tcPr>
          <w:p w14:paraId="614041D5">
            <w:pPr>
              <w:pStyle w:val="9"/>
              <w:spacing w:line="390" w:lineRule="exact"/>
              <w:ind w:firstLine="420"/>
              <w:rPr>
                <w:rFonts w:hint="eastAsia" w:ascii="宋体" w:hAnsi="宋体"/>
                <w:sz w:val="21"/>
              </w:rPr>
            </w:pPr>
          </w:p>
        </w:tc>
        <w:tc>
          <w:tcPr>
            <w:tcW w:w="1276" w:type="dxa"/>
            <w:vAlign w:val="center"/>
          </w:tcPr>
          <w:p w14:paraId="07FB31B3">
            <w:pPr>
              <w:pStyle w:val="9"/>
              <w:spacing w:line="240" w:lineRule="auto"/>
              <w:ind w:firstLine="0" w:firstLineChars="0"/>
              <w:jc w:val="center"/>
              <w:rPr>
                <w:rFonts w:ascii="Times New Roman"/>
                <w:sz w:val="21"/>
              </w:rPr>
            </w:pPr>
            <w:r>
              <w:rPr>
                <w:rFonts w:hint="eastAsia" w:ascii="Times New Roman"/>
                <w:sz w:val="21"/>
              </w:rPr>
              <w:t>英文</w:t>
            </w:r>
          </w:p>
        </w:tc>
        <w:tc>
          <w:tcPr>
            <w:tcW w:w="6822" w:type="dxa"/>
            <w:gridSpan w:val="4"/>
          </w:tcPr>
          <w:p w14:paraId="6F3F7E9C">
            <w:pPr>
              <w:pStyle w:val="9"/>
              <w:spacing w:line="390" w:lineRule="exact"/>
              <w:ind w:firstLine="0" w:firstLineChars="0"/>
              <w:rPr>
                <w:rFonts w:ascii="Times New Roman"/>
                <w:sz w:val="21"/>
                <w:szCs w:val="21"/>
              </w:rPr>
            </w:pPr>
            <w:r>
              <w:rPr>
                <w:rFonts w:ascii="Times New Roman"/>
                <w:sz w:val="21"/>
                <w:szCs w:val="21"/>
              </w:rPr>
              <w:t>Comprehensive Technical Solution and Standardized System for Detection and Traceability of Foodborne Pathogenic Microorganisms</w:t>
            </w:r>
          </w:p>
        </w:tc>
      </w:tr>
      <w:tr w14:paraId="42FCF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392" w:type="dxa"/>
            <w:gridSpan w:val="2"/>
            <w:vAlign w:val="center"/>
          </w:tcPr>
          <w:p w14:paraId="69E46B8A">
            <w:pPr>
              <w:pStyle w:val="9"/>
              <w:spacing w:line="390" w:lineRule="exact"/>
              <w:ind w:firstLine="0" w:firstLineChars="0"/>
              <w:jc w:val="center"/>
              <w:rPr>
                <w:rFonts w:ascii="Times New Roman"/>
                <w:sz w:val="21"/>
              </w:rPr>
            </w:pPr>
            <w:r>
              <w:rPr>
                <w:rFonts w:hint="eastAsia" w:ascii="Times New Roman"/>
                <w:sz w:val="21"/>
              </w:rPr>
              <w:t>申报等级</w:t>
            </w:r>
          </w:p>
        </w:tc>
        <w:tc>
          <w:tcPr>
            <w:tcW w:w="4458" w:type="dxa"/>
            <w:gridSpan w:val="3"/>
            <w:vAlign w:val="center"/>
          </w:tcPr>
          <w:p w14:paraId="3AC5409F">
            <w:pPr>
              <w:pStyle w:val="9"/>
              <w:spacing w:line="390" w:lineRule="exact"/>
              <w:ind w:firstLine="640"/>
              <w:jc w:val="left"/>
              <w:rPr>
                <w:rFonts w:ascii="Segoe UI Symbol" w:hAnsi="Segoe UI Symbol" w:eastAsia="仿宋_GB2312"/>
                <w:sz w:val="32"/>
                <w:szCs w:val="32"/>
              </w:rPr>
            </w:pPr>
            <w:r>
              <w:rPr>
                <w:rFonts w:ascii="Segoe UI Symbol" w:hAnsi="Segoe UI Symbol" w:eastAsia="仿宋_GB2312"/>
                <w:sz w:val="32"/>
                <w:szCs w:val="32"/>
              </w:rPr>
              <w:sym w:font="Wingdings 2" w:char="F052"/>
            </w:r>
            <w:r>
              <w:rPr>
                <w:rFonts w:hint="eastAsia" w:ascii="Times New Roman"/>
                <w:sz w:val="21"/>
              </w:rPr>
              <w:t xml:space="preserve">一等奖   二等奖    三等奖   </w:t>
            </w:r>
          </w:p>
        </w:tc>
        <w:tc>
          <w:tcPr>
            <w:tcW w:w="2364" w:type="dxa"/>
            <w:vAlign w:val="center"/>
          </w:tcPr>
          <w:p w14:paraId="05A6E1CF">
            <w:pPr>
              <w:pStyle w:val="9"/>
              <w:spacing w:line="390" w:lineRule="exact"/>
              <w:ind w:firstLine="0" w:firstLineChars="0"/>
              <w:jc w:val="center"/>
              <w:rPr>
                <w:rFonts w:ascii="Times New Roman"/>
                <w:sz w:val="21"/>
              </w:rPr>
            </w:pPr>
            <w:r>
              <w:rPr>
                <w:rFonts w:hint="eastAsia" w:ascii="Times New Roman"/>
                <w:sz w:val="21"/>
              </w:rPr>
              <w:t>■同意调级</w:t>
            </w:r>
          </w:p>
        </w:tc>
      </w:tr>
      <w:tr w14:paraId="64075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2392" w:type="dxa"/>
            <w:gridSpan w:val="2"/>
            <w:vAlign w:val="center"/>
          </w:tcPr>
          <w:p w14:paraId="647AFCAE">
            <w:pPr>
              <w:pStyle w:val="9"/>
              <w:spacing w:line="390" w:lineRule="exact"/>
              <w:ind w:firstLine="0" w:firstLineChars="0"/>
              <w:jc w:val="center"/>
              <w:rPr>
                <w:rFonts w:ascii="Times New Roman"/>
                <w:sz w:val="21"/>
              </w:rPr>
            </w:pPr>
            <w:r>
              <w:rPr>
                <w:rFonts w:hint="eastAsia" w:ascii="Times New Roman"/>
                <w:sz w:val="21"/>
              </w:rPr>
              <w:t>主要完成人</w:t>
            </w:r>
          </w:p>
        </w:tc>
        <w:tc>
          <w:tcPr>
            <w:tcW w:w="6822" w:type="dxa"/>
            <w:gridSpan w:val="4"/>
            <w:vAlign w:val="center"/>
          </w:tcPr>
          <w:p w14:paraId="4F176F85">
            <w:pPr>
              <w:pStyle w:val="9"/>
              <w:spacing w:line="390" w:lineRule="exact"/>
              <w:ind w:firstLine="0" w:firstLineChars="0"/>
              <w:rPr>
                <w:rFonts w:hint="eastAsia" w:ascii="方正仿宋_GBK" w:hAnsi="仿宋_GB2312" w:eastAsia="方正仿宋_GBK"/>
                <w:szCs w:val="24"/>
              </w:rPr>
            </w:pPr>
            <w:r>
              <w:rPr>
                <w:rFonts w:hint="eastAsia" w:ascii="Times New Roman"/>
                <w:sz w:val="21"/>
              </w:rPr>
              <w:t>徐蕾蕊，汪琦，赵宏，李可，魏海燕，赵晓娟，刘斌，潘娟，魏咏新，马丹</w:t>
            </w:r>
          </w:p>
        </w:tc>
      </w:tr>
      <w:tr w14:paraId="05987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2392" w:type="dxa"/>
            <w:gridSpan w:val="2"/>
            <w:vAlign w:val="center"/>
          </w:tcPr>
          <w:p w14:paraId="3C673677">
            <w:pPr>
              <w:pStyle w:val="9"/>
              <w:spacing w:line="390" w:lineRule="exact"/>
              <w:ind w:firstLine="420"/>
              <w:rPr>
                <w:rFonts w:ascii="Times New Roman"/>
                <w:sz w:val="21"/>
              </w:rPr>
            </w:pPr>
            <w:r>
              <w:rPr>
                <w:rFonts w:hint="eastAsia" w:ascii="Times New Roman"/>
                <w:sz w:val="21"/>
              </w:rPr>
              <w:t>主要完成单位</w:t>
            </w:r>
          </w:p>
        </w:tc>
        <w:tc>
          <w:tcPr>
            <w:tcW w:w="6822" w:type="dxa"/>
            <w:gridSpan w:val="4"/>
            <w:vAlign w:val="center"/>
          </w:tcPr>
          <w:p w14:paraId="391BDFEC">
            <w:pPr>
              <w:pStyle w:val="9"/>
              <w:spacing w:line="390" w:lineRule="exact"/>
              <w:ind w:firstLine="0" w:firstLineChars="0"/>
              <w:jc w:val="left"/>
              <w:rPr>
                <w:rFonts w:hint="eastAsia" w:asciiTheme="minorEastAsia" w:hAnsiTheme="minorEastAsia" w:eastAsiaTheme="minorEastAsia"/>
                <w:szCs w:val="24"/>
              </w:rPr>
            </w:pPr>
            <w:r>
              <w:rPr>
                <w:rFonts w:hint="eastAsia" w:asciiTheme="minorEastAsia" w:hAnsiTheme="minorEastAsia" w:eastAsiaTheme="minorEastAsia"/>
                <w:sz w:val="21"/>
                <w:szCs w:val="18"/>
              </w:rPr>
              <w:t>中国海关科学技术研究中心，天津海关动植物与食品检测中心，杭州海关技术中心，西北农林科技大学，天津国际旅行卫生保健中心（天津海关口岸门诊部）</w:t>
            </w:r>
          </w:p>
        </w:tc>
      </w:tr>
      <w:tr w14:paraId="52412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392" w:type="dxa"/>
            <w:gridSpan w:val="2"/>
            <w:vAlign w:val="center"/>
          </w:tcPr>
          <w:p w14:paraId="57BC38D1">
            <w:pPr>
              <w:pStyle w:val="9"/>
              <w:spacing w:line="390" w:lineRule="exact"/>
              <w:ind w:firstLine="0" w:firstLineChars="0"/>
              <w:jc w:val="center"/>
              <w:rPr>
                <w:rFonts w:ascii="Times New Roman"/>
                <w:sz w:val="21"/>
              </w:rPr>
            </w:pPr>
            <w:r>
              <w:rPr>
                <w:rFonts w:hint="eastAsia" w:ascii="Times New Roman"/>
                <w:sz w:val="21"/>
              </w:rPr>
              <w:t>申报</w:t>
            </w:r>
            <w:r>
              <w:rPr>
                <w:rFonts w:ascii="Times New Roman"/>
                <w:sz w:val="21"/>
              </w:rPr>
              <w:t>单位</w:t>
            </w:r>
          </w:p>
        </w:tc>
        <w:tc>
          <w:tcPr>
            <w:tcW w:w="6822" w:type="dxa"/>
            <w:gridSpan w:val="4"/>
            <w:vAlign w:val="center"/>
          </w:tcPr>
          <w:p w14:paraId="427C0E55">
            <w:pPr>
              <w:pStyle w:val="9"/>
              <w:spacing w:line="390" w:lineRule="exact"/>
              <w:ind w:firstLine="0" w:firstLineChars="0"/>
              <w:jc w:val="center"/>
              <w:rPr>
                <w:rFonts w:hint="eastAsia" w:ascii="宋体" w:hAnsi="宋体"/>
                <w:sz w:val="21"/>
                <w:szCs w:val="21"/>
              </w:rPr>
            </w:pPr>
            <w:r>
              <w:rPr>
                <w:rFonts w:hint="eastAsia" w:ascii="宋体" w:hAnsi="宋体"/>
                <w:sz w:val="21"/>
                <w:szCs w:val="21"/>
              </w:rPr>
              <w:t>中国海关科学技术研究中心</w:t>
            </w:r>
          </w:p>
        </w:tc>
      </w:tr>
      <w:tr w14:paraId="06B35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392" w:type="dxa"/>
            <w:gridSpan w:val="2"/>
            <w:vAlign w:val="center"/>
          </w:tcPr>
          <w:p w14:paraId="55506152">
            <w:pPr>
              <w:pStyle w:val="9"/>
              <w:spacing w:line="390" w:lineRule="exact"/>
              <w:ind w:firstLine="0" w:firstLineChars="0"/>
              <w:jc w:val="center"/>
              <w:rPr>
                <w:rFonts w:ascii="Times New Roman"/>
                <w:sz w:val="21"/>
              </w:rPr>
            </w:pPr>
            <w:r>
              <w:rPr>
                <w:rFonts w:hint="eastAsia" w:ascii="Times New Roman"/>
                <w:sz w:val="21"/>
              </w:rPr>
              <w:t>项目的主要</w:t>
            </w:r>
            <w:r>
              <w:rPr>
                <w:rFonts w:ascii="Times New Roman"/>
                <w:sz w:val="21"/>
              </w:rPr>
              <w:t>来源</w:t>
            </w:r>
          </w:p>
        </w:tc>
        <w:tc>
          <w:tcPr>
            <w:tcW w:w="6822" w:type="dxa"/>
            <w:gridSpan w:val="4"/>
            <w:vAlign w:val="center"/>
          </w:tcPr>
          <w:p w14:paraId="71CB1EA6">
            <w:pPr>
              <w:pStyle w:val="9"/>
              <w:spacing w:line="390" w:lineRule="exact"/>
              <w:ind w:firstLine="420"/>
              <w:jc w:val="left"/>
              <w:rPr>
                <w:rFonts w:ascii="Times New Roman"/>
                <w:sz w:val="21"/>
              </w:rPr>
            </w:pPr>
            <w:r>
              <w:rPr>
                <w:rFonts w:hint="eastAsia" w:ascii="Times New Roman"/>
                <w:sz w:val="21"/>
              </w:rPr>
              <w:t xml:space="preserve">☑ 国家级    ☑ 省部级    □ 其他    </w:t>
            </w:r>
          </w:p>
        </w:tc>
      </w:tr>
      <w:tr w14:paraId="0E63D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9214" w:type="dxa"/>
            <w:gridSpan w:val="6"/>
          </w:tcPr>
          <w:p w14:paraId="320C5369">
            <w:pPr>
              <w:spacing w:line="330" w:lineRule="exact"/>
              <w:rPr>
                <w:rFonts w:ascii="Times New Roman" w:hAnsi="Times New Roman"/>
                <w:szCs w:val="24"/>
              </w:rPr>
            </w:pPr>
            <w:r>
              <w:rPr>
                <w:rFonts w:ascii="Times New Roman" w:hAnsi="Times New Roman"/>
                <w:szCs w:val="24"/>
              </w:rPr>
              <w:t>1. 国家重点研发计划</w:t>
            </w:r>
            <w:r>
              <w:rPr>
                <w:rFonts w:asciiTheme="minorEastAsia" w:hAnsiTheme="minorEastAsia" w:eastAsiaTheme="minorEastAsia"/>
                <w:szCs w:val="24"/>
              </w:rPr>
              <w:t>“</w:t>
            </w:r>
            <w:r>
              <w:rPr>
                <w:rFonts w:ascii="Times New Roman" w:hAnsi="Times New Roman"/>
                <w:szCs w:val="24"/>
              </w:rPr>
              <w:t>法规差异性生物及物理有害物精准侦查技术研究</w:t>
            </w:r>
            <w:r>
              <w:rPr>
                <w:rFonts w:ascii="宋体" w:hAnsi="宋体"/>
                <w:szCs w:val="24"/>
              </w:rPr>
              <w:t>”</w:t>
            </w:r>
            <w:r>
              <w:rPr>
                <w:rFonts w:ascii="Times New Roman" w:hAnsi="Times New Roman"/>
                <w:szCs w:val="24"/>
              </w:rPr>
              <w:t>（2017YFC16016</w:t>
            </w:r>
            <w:r>
              <w:rPr>
                <w:rFonts w:hint="eastAsia" w:ascii="Times New Roman" w:hAnsi="Times New Roman"/>
                <w:szCs w:val="24"/>
              </w:rPr>
              <w:t>0</w:t>
            </w:r>
            <w:r>
              <w:rPr>
                <w:rFonts w:ascii="Times New Roman" w:hAnsi="Times New Roman"/>
                <w:szCs w:val="24"/>
              </w:rPr>
              <w:t>2）</w:t>
            </w:r>
          </w:p>
          <w:p w14:paraId="1DE8C348">
            <w:pPr>
              <w:spacing w:line="330" w:lineRule="exact"/>
              <w:rPr>
                <w:rFonts w:ascii="Times New Roman" w:hAnsi="Times New Roman"/>
                <w:szCs w:val="24"/>
              </w:rPr>
            </w:pPr>
            <w:r>
              <w:rPr>
                <w:rFonts w:ascii="Times New Roman" w:hAnsi="Times New Roman"/>
                <w:szCs w:val="24"/>
              </w:rPr>
              <w:t>2. 浙江省</w:t>
            </w:r>
            <w:r>
              <w:rPr>
                <w:rFonts w:hint="eastAsia" w:ascii="Times New Roman" w:hAnsi="Times New Roman"/>
                <w:szCs w:val="24"/>
              </w:rPr>
              <w:t>公益</w:t>
            </w:r>
            <w:r>
              <w:rPr>
                <w:rFonts w:ascii="Times New Roman" w:hAnsi="Times New Roman"/>
                <w:szCs w:val="24"/>
              </w:rPr>
              <w:t>性技术应用研究项目</w:t>
            </w:r>
            <w:r>
              <w:rPr>
                <w:rFonts w:ascii="宋体" w:hAnsi="宋体"/>
                <w:szCs w:val="24"/>
              </w:rPr>
              <w:t>“</w:t>
            </w:r>
            <w:r>
              <w:rPr>
                <w:rFonts w:ascii="Times New Roman" w:hAnsi="Times New Roman"/>
                <w:szCs w:val="24"/>
              </w:rPr>
              <w:t>肉及肉制品中主要食源性致病菌的HRM监测技术研究</w:t>
            </w:r>
            <w:r>
              <w:rPr>
                <w:rFonts w:asciiTheme="minorEastAsia" w:hAnsiTheme="minorEastAsia" w:eastAsiaTheme="minorEastAsia"/>
                <w:szCs w:val="24"/>
              </w:rPr>
              <w:t>”</w:t>
            </w:r>
            <w:r>
              <w:rPr>
                <w:rFonts w:ascii="Times New Roman" w:hAnsi="Times New Roman"/>
                <w:szCs w:val="24"/>
              </w:rPr>
              <w:t>（2018C37015）；</w:t>
            </w:r>
          </w:p>
          <w:p w14:paraId="0598565C">
            <w:pPr>
              <w:spacing w:line="330" w:lineRule="exact"/>
              <w:rPr>
                <w:rFonts w:ascii="Times New Roman" w:hAnsi="Times New Roman"/>
                <w:szCs w:val="24"/>
              </w:rPr>
            </w:pPr>
            <w:r>
              <w:rPr>
                <w:rFonts w:ascii="Times New Roman" w:hAnsi="Times New Roman"/>
                <w:szCs w:val="24"/>
              </w:rPr>
              <w:t>3.  海关总署科研项目</w:t>
            </w:r>
            <w:r>
              <w:rPr>
                <w:rFonts w:ascii="宋体" w:hAnsi="宋体"/>
                <w:szCs w:val="24"/>
              </w:rPr>
              <w:t>“</w:t>
            </w:r>
            <w:r>
              <w:rPr>
                <w:rFonts w:ascii="Times New Roman" w:hAnsi="Times New Roman"/>
                <w:szCs w:val="24"/>
              </w:rPr>
              <w:t>重组酶介导常温核酸扩增技术在水产品及其制品主要致病菌快速检测方法及应用研究</w:t>
            </w:r>
            <w:r>
              <w:rPr>
                <w:rFonts w:ascii="宋体" w:hAnsi="宋体"/>
                <w:szCs w:val="24"/>
              </w:rPr>
              <w:t>”</w:t>
            </w:r>
            <w:r>
              <w:rPr>
                <w:rFonts w:ascii="Times New Roman" w:hAnsi="Times New Roman"/>
                <w:szCs w:val="24"/>
              </w:rPr>
              <w:t>（2019IK097）；</w:t>
            </w:r>
          </w:p>
          <w:p w14:paraId="4035B98D">
            <w:pPr>
              <w:spacing w:line="330" w:lineRule="exact"/>
              <w:rPr>
                <w:rFonts w:ascii="Times New Roman" w:hAnsi="Times New Roman"/>
                <w:szCs w:val="24"/>
              </w:rPr>
            </w:pPr>
            <w:r>
              <w:rPr>
                <w:rFonts w:ascii="Times New Roman" w:hAnsi="Times New Roman"/>
                <w:szCs w:val="24"/>
              </w:rPr>
              <w:t>4. 原质检总局科技计划项目</w:t>
            </w:r>
            <w:r>
              <w:rPr>
                <w:rFonts w:ascii="宋体" w:hAnsi="宋体"/>
                <w:szCs w:val="24"/>
              </w:rPr>
              <w:t>“</w:t>
            </w:r>
            <w:r>
              <w:rPr>
                <w:rFonts w:ascii="Times New Roman" w:hAnsi="Times New Roman"/>
                <w:szCs w:val="24"/>
              </w:rPr>
              <w:t>食品微生物快速鉴定和分型方法的建立——MALDI-TOF MS 法</w:t>
            </w:r>
            <w:r>
              <w:rPr>
                <w:rFonts w:ascii="宋体" w:hAnsi="宋体"/>
                <w:szCs w:val="24"/>
              </w:rPr>
              <w:t>”</w:t>
            </w:r>
            <w:r>
              <w:rPr>
                <w:rFonts w:ascii="Times New Roman" w:hAnsi="Times New Roman"/>
                <w:szCs w:val="24"/>
              </w:rPr>
              <w:t xml:space="preserve">（2017IK145） </w:t>
            </w:r>
          </w:p>
          <w:p w14:paraId="7C096E92">
            <w:pPr>
              <w:spacing w:line="330" w:lineRule="exact"/>
              <w:rPr>
                <w:rFonts w:hint="eastAsia" w:ascii="方正仿宋_GBK" w:hAnsi="仿宋_GB2312" w:eastAsia="方正仿宋_GBK"/>
                <w:szCs w:val="24"/>
              </w:rPr>
            </w:pPr>
            <w:r>
              <w:rPr>
                <w:rFonts w:ascii="Times New Roman" w:hAnsi="Times New Roman"/>
                <w:szCs w:val="24"/>
              </w:rPr>
              <w:t>5. 原质检总局科技计划项目</w:t>
            </w:r>
            <w:r>
              <w:rPr>
                <w:rFonts w:ascii="宋体" w:hAnsi="宋体"/>
                <w:szCs w:val="24"/>
              </w:rPr>
              <w:t>“</w:t>
            </w:r>
            <w:r>
              <w:rPr>
                <w:rFonts w:ascii="Times New Roman" w:hAnsi="Times New Roman"/>
                <w:szCs w:val="24"/>
              </w:rPr>
              <w:t>食品中食源性病毒精准定量方法研究</w:t>
            </w:r>
            <w:r>
              <w:rPr>
                <w:rFonts w:ascii="宋体" w:hAnsi="宋体"/>
                <w:szCs w:val="24"/>
              </w:rPr>
              <w:t>”</w:t>
            </w:r>
            <w:r>
              <w:rPr>
                <w:rFonts w:ascii="Times New Roman" w:hAnsi="Times New Roman"/>
                <w:szCs w:val="24"/>
              </w:rPr>
              <w:t>（2016IK017）</w:t>
            </w:r>
          </w:p>
        </w:tc>
      </w:tr>
      <w:tr w14:paraId="3EE9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880" w:type="dxa"/>
            <w:gridSpan w:val="3"/>
            <w:vAlign w:val="center"/>
          </w:tcPr>
          <w:p w14:paraId="05F1A9C2">
            <w:pPr>
              <w:pStyle w:val="9"/>
              <w:spacing w:line="390" w:lineRule="exact"/>
              <w:ind w:firstLine="0" w:firstLineChars="0"/>
              <w:jc w:val="center"/>
              <w:rPr>
                <w:rFonts w:ascii="Times New Roman"/>
                <w:sz w:val="21"/>
              </w:rPr>
            </w:pPr>
            <w:r>
              <w:rPr>
                <w:rFonts w:hint="eastAsia" w:ascii="Times New Roman"/>
                <w:sz w:val="21"/>
              </w:rPr>
              <w:t>项目的主要</w:t>
            </w:r>
            <w:r>
              <w:rPr>
                <w:rFonts w:ascii="Times New Roman"/>
                <w:sz w:val="21"/>
              </w:rPr>
              <w:t>起止时间</w:t>
            </w:r>
          </w:p>
        </w:tc>
        <w:tc>
          <w:tcPr>
            <w:tcW w:w="2378" w:type="dxa"/>
            <w:vAlign w:val="center"/>
          </w:tcPr>
          <w:p w14:paraId="63379693">
            <w:pPr>
              <w:pStyle w:val="9"/>
              <w:spacing w:line="390" w:lineRule="exact"/>
              <w:ind w:firstLine="0" w:firstLineChars="0"/>
              <w:rPr>
                <w:rFonts w:ascii="Times New Roman"/>
                <w:sz w:val="21"/>
              </w:rPr>
            </w:pPr>
            <w:r>
              <w:rPr>
                <w:rFonts w:ascii="Times New Roman"/>
                <w:sz w:val="21"/>
              </w:rPr>
              <w:t>起始：</w:t>
            </w:r>
            <w:bookmarkStart w:id="1" w:name="OLE_LINK6"/>
            <w:r>
              <w:rPr>
                <w:rFonts w:hint="eastAsia" w:ascii="Times New Roman"/>
                <w:sz w:val="21"/>
              </w:rPr>
              <w:t>2015</w:t>
            </w:r>
            <w:r>
              <w:rPr>
                <w:rFonts w:ascii="Times New Roman"/>
                <w:sz w:val="21"/>
                <w:szCs w:val="21"/>
              </w:rPr>
              <w:t>年</w:t>
            </w:r>
            <w:r>
              <w:rPr>
                <w:rFonts w:hint="eastAsia" w:ascii="Times New Roman"/>
                <w:sz w:val="21"/>
                <w:szCs w:val="21"/>
              </w:rPr>
              <w:t>1</w:t>
            </w:r>
            <w:r>
              <w:rPr>
                <w:rFonts w:ascii="Times New Roman"/>
                <w:sz w:val="21"/>
                <w:szCs w:val="21"/>
              </w:rPr>
              <w:t>月</w:t>
            </w:r>
            <w:r>
              <w:rPr>
                <w:rFonts w:hint="eastAsia" w:ascii="Times New Roman"/>
                <w:sz w:val="21"/>
                <w:szCs w:val="21"/>
              </w:rPr>
              <w:t>1</w:t>
            </w:r>
            <w:r>
              <w:rPr>
                <w:rFonts w:ascii="Times New Roman"/>
                <w:sz w:val="21"/>
                <w:szCs w:val="21"/>
              </w:rPr>
              <w:t xml:space="preserve"> 日</w:t>
            </w:r>
            <w:bookmarkEnd w:id="1"/>
          </w:p>
        </w:tc>
        <w:tc>
          <w:tcPr>
            <w:tcW w:w="3956" w:type="dxa"/>
            <w:gridSpan w:val="2"/>
            <w:vAlign w:val="center"/>
          </w:tcPr>
          <w:p w14:paraId="0F7E41DD">
            <w:pPr>
              <w:pStyle w:val="9"/>
              <w:spacing w:line="390" w:lineRule="exact"/>
              <w:ind w:firstLine="0" w:firstLineChars="0"/>
              <w:rPr>
                <w:rFonts w:ascii="Times New Roman"/>
                <w:sz w:val="21"/>
              </w:rPr>
            </w:pPr>
            <w:r>
              <w:rPr>
                <w:rFonts w:ascii="Times New Roman"/>
                <w:sz w:val="21"/>
              </w:rPr>
              <w:t>完成：</w:t>
            </w:r>
            <w:r>
              <w:rPr>
                <w:rFonts w:hint="eastAsia" w:ascii="Times New Roman"/>
                <w:sz w:val="21"/>
              </w:rPr>
              <w:t>2025</w:t>
            </w:r>
            <w:r>
              <w:rPr>
                <w:rFonts w:ascii="Times New Roman"/>
                <w:sz w:val="21"/>
              </w:rPr>
              <w:t xml:space="preserve">年 </w:t>
            </w:r>
            <w:r>
              <w:rPr>
                <w:rFonts w:hint="eastAsia" w:ascii="Times New Roman"/>
                <w:sz w:val="21"/>
              </w:rPr>
              <w:t>12</w:t>
            </w:r>
            <w:r>
              <w:rPr>
                <w:rFonts w:ascii="Times New Roman"/>
                <w:sz w:val="21"/>
              </w:rPr>
              <w:t xml:space="preserve"> 月 </w:t>
            </w:r>
            <w:r>
              <w:rPr>
                <w:rFonts w:hint="eastAsia" w:ascii="Times New Roman"/>
                <w:sz w:val="21"/>
              </w:rPr>
              <w:t>30</w:t>
            </w:r>
            <w:r>
              <w:rPr>
                <w:rFonts w:ascii="Times New Roman"/>
                <w:sz w:val="21"/>
              </w:rPr>
              <w:t xml:space="preserve"> 日</w:t>
            </w:r>
          </w:p>
        </w:tc>
      </w:tr>
      <w:tr w14:paraId="0F92C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2880" w:type="dxa"/>
            <w:gridSpan w:val="3"/>
            <w:vAlign w:val="center"/>
          </w:tcPr>
          <w:p w14:paraId="190B1E47">
            <w:pPr>
              <w:pStyle w:val="9"/>
              <w:spacing w:line="390" w:lineRule="exact"/>
              <w:ind w:firstLine="0" w:firstLineChars="0"/>
              <w:jc w:val="center"/>
              <w:rPr>
                <w:rFonts w:ascii="Times New Roman"/>
                <w:sz w:val="21"/>
              </w:rPr>
            </w:pPr>
            <w:r>
              <w:rPr>
                <w:rFonts w:hint="eastAsia" w:ascii="Times New Roman"/>
                <w:sz w:val="21"/>
              </w:rPr>
              <w:t>组织验收单位</w:t>
            </w:r>
          </w:p>
        </w:tc>
        <w:tc>
          <w:tcPr>
            <w:tcW w:w="6334" w:type="dxa"/>
            <w:gridSpan w:val="3"/>
            <w:vAlign w:val="center"/>
          </w:tcPr>
          <w:p w14:paraId="7D224B84">
            <w:pPr>
              <w:pStyle w:val="9"/>
              <w:spacing w:line="390" w:lineRule="exact"/>
              <w:ind w:firstLine="0" w:firstLineChars="0"/>
              <w:rPr>
                <w:rFonts w:hint="eastAsia" w:ascii="宋体" w:hAnsi="宋体"/>
                <w:sz w:val="21"/>
              </w:rPr>
            </w:pPr>
            <w:r>
              <w:rPr>
                <w:rFonts w:hint="eastAsia" w:ascii="宋体" w:hAnsi="宋体"/>
                <w:sz w:val="21"/>
              </w:rPr>
              <w:t>中国质量检验检测科学研究院（原中国检验检疫科学研究院）、浙江省科技厅、原国家质检总局</w:t>
            </w:r>
            <w:r>
              <w:rPr>
                <w:rFonts w:ascii="宋体" w:hAnsi="宋体"/>
                <w:sz w:val="21"/>
              </w:rPr>
              <w:t>科技司、</w:t>
            </w:r>
            <w:r>
              <w:rPr>
                <w:rFonts w:hint="eastAsia" w:ascii="宋体" w:hAnsi="宋体"/>
                <w:sz w:val="21"/>
              </w:rPr>
              <w:t>海关总署</w:t>
            </w:r>
            <w:r>
              <w:rPr>
                <w:rFonts w:ascii="宋体" w:hAnsi="宋体"/>
                <w:sz w:val="21"/>
              </w:rPr>
              <w:t>科技</w:t>
            </w:r>
            <w:r>
              <w:rPr>
                <w:rFonts w:hint="eastAsia" w:ascii="宋体" w:hAnsi="宋体"/>
                <w:sz w:val="21"/>
              </w:rPr>
              <w:t>司</w:t>
            </w:r>
          </w:p>
        </w:tc>
      </w:tr>
      <w:tr w14:paraId="5E3BD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214" w:type="dxa"/>
            <w:gridSpan w:val="6"/>
            <w:vAlign w:val="center"/>
          </w:tcPr>
          <w:p w14:paraId="7C369E45">
            <w:pPr>
              <w:pStyle w:val="9"/>
              <w:snapToGrid w:val="0"/>
              <w:spacing w:line="460" w:lineRule="exact"/>
              <w:ind w:firstLine="0" w:firstLineChars="0"/>
              <w:contextualSpacing/>
              <w:rPr>
                <w:rFonts w:ascii="方正仿宋_GBK" w:eastAsia="方正仿宋_GBK"/>
                <w:b/>
                <w:color w:val="0D0D0D"/>
                <w:szCs w:val="24"/>
              </w:rPr>
            </w:pPr>
            <w:r>
              <w:rPr>
                <w:rFonts w:hint="eastAsia" w:ascii="方正仿宋_GBK" w:eastAsia="方正仿宋_GBK"/>
                <w:b/>
                <w:color w:val="0D0D0D"/>
                <w:szCs w:val="24"/>
              </w:rPr>
              <w:t>项目简介</w:t>
            </w:r>
          </w:p>
          <w:p w14:paraId="2DBD444B">
            <w:pPr>
              <w:snapToGrid w:val="0"/>
              <w:spacing w:line="360" w:lineRule="auto"/>
              <w:ind w:firstLine="420" w:firstLineChars="200"/>
              <w:rPr>
                <w:rFonts w:ascii="Times New Roman" w:hAnsi="Times New Roman"/>
                <w:bCs/>
                <w:color w:val="353535"/>
                <w:kern w:val="0"/>
                <w:szCs w:val="21"/>
              </w:rPr>
            </w:pPr>
            <w:r>
              <w:rPr>
                <w:rFonts w:ascii="Times New Roman" w:hAnsi="Times New Roman"/>
                <w:bCs/>
                <w:color w:val="353535"/>
                <w:kern w:val="0"/>
                <w:szCs w:val="21"/>
              </w:rPr>
              <w:t>针对食源性病原微生物可能产生的风险，综合运用数字PCR、MALDI-TOF-MS、HAM、LAMP、内标PCR、MLST等新型生物学技术，构建起集</w:t>
            </w:r>
            <w:r>
              <w:rPr>
                <w:rFonts w:ascii="宋体" w:hAnsi="宋体"/>
                <w:bCs/>
                <w:color w:val="353535"/>
                <w:kern w:val="0"/>
                <w:szCs w:val="21"/>
              </w:rPr>
              <w:t>“</w:t>
            </w:r>
            <w:r>
              <w:rPr>
                <w:rFonts w:ascii="Times New Roman" w:hAnsi="Times New Roman"/>
                <w:bCs/>
                <w:color w:val="353535"/>
                <w:kern w:val="0"/>
                <w:szCs w:val="21"/>
              </w:rPr>
              <w:t>高效检测、精准鉴定、准确溯源、标准管理</w:t>
            </w:r>
            <w:r>
              <w:rPr>
                <w:rFonts w:ascii="宋体" w:hAnsi="宋体"/>
                <w:bCs/>
                <w:color w:val="353535"/>
                <w:kern w:val="0"/>
                <w:szCs w:val="21"/>
              </w:rPr>
              <w:t>”</w:t>
            </w:r>
            <w:r>
              <w:rPr>
                <w:rFonts w:ascii="Times New Roman" w:hAnsi="Times New Roman"/>
                <w:bCs/>
                <w:color w:val="353535"/>
                <w:kern w:val="0"/>
                <w:szCs w:val="21"/>
              </w:rPr>
              <w:t>于一体的食源性致病微生物监测溯源标准化集成体系，为口岸食品安全把关、食源性致病风险 因子预警系统的建立提供技术支撑和方法学依据。主要研究成果如下：</w:t>
            </w:r>
          </w:p>
          <w:p w14:paraId="50F1B6B4">
            <w:pPr>
              <w:snapToGrid w:val="0"/>
              <w:spacing w:line="360" w:lineRule="auto"/>
              <w:ind w:firstLine="420" w:firstLineChars="200"/>
              <w:rPr>
                <w:rFonts w:ascii="Times New Roman" w:hAnsi="Times New Roman"/>
                <w:bCs/>
                <w:color w:val="353535"/>
                <w:kern w:val="0"/>
                <w:szCs w:val="21"/>
              </w:rPr>
            </w:pPr>
            <w:r>
              <w:rPr>
                <w:rFonts w:ascii="Times New Roman" w:hAnsi="Times New Roman"/>
                <w:bCs/>
                <w:color w:val="353535"/>
                <w:kern w:val="0"/>
                <w:szCs w:val="21"/>
              </w:rPr>
              <w:t>1．建立食源性病毒数字PCR精准检测技术体系</w:t>
            </w:r>
            <w:r>
              <w:rPr>
                <w:rFonts w:hint="eastAsia" w:ascii="Times New Roman" w:hAnsi="Times New Roman"/>
                <w:bCs/>
                <w:color w:val="353535"/>
                <w:kern w:val="0"/>
                <w:szCs w:val="21"/>
              </w:rPr>
              <w:t>，实现多种食品基质中食源性病毒精准定量</w:t>
            </w:r>
            <w:r>
              <w:rPr>
                <w:rFonts w:ascii="Times New Roman" w:hAnsi="Times New Roman"/>
                <w:bCs/>
                <w:color w:val="353535"/>
                <w:kern w:val="0"/>
                <w:szCs w:val="21"/>
              </w:rPr>
              <w:t>。以导致重大公共卫生事件的食源性病毒如诺如病毒、星状病毒、轮状病毒等为研究对象，从高精准分子定量、全流程精密控制等多方面构建数字PCR检测技术体系，研制出具有自主知识产权的食源性致病微生物高效精准检测试剂盒5种，扭转了食品中食源性致病微生物定量检测病毒回收率、反转录效率等关键质量参数不可控的被动局面，实现食品中痕量食源性致病微生物精确检控。配套开发出2种检测急需的病毒RNA有证国家标准样品，相关方法已形成系列行业标准。</w:t>
            </w:r>
          </w:p>
          <w:p w14:paraId="63FAFFD7">
            <w:pPr>
              <w:snapToGrid w:val="0"/>
              <w:spacing w:line="360" w:lineRule="auto"/>
              <w:ind w:firstLine="420" w:firstLineChars="200"/>
              <w:rPr>
                <w:rFonts w:ascii="Times New Roman" w:hAnsi="Times New Roman"/>
                <w:bCs/>
                <w:color w:val="353535"/>
                <w:kern w:val="0"/>
                <w:szCs w:val="21"/>
              </w:rPr>
            </w:pPr>
            <w:r>
              <w:rPr>
                <w:rFonts w:ascii="Times New Roman" w:hAnsi="Times New Roman"/>
                <w:bCs/>
                <w:color w:val="353535"/>
                <w:kern w:val="0"/>
                <w:szCs w:val="21"/>
              </w:rPr>
              <w:t>2．建立免疫富集联合MALDI-TOF MS精准溯源检测平台，首次将阪崎克罗诺杆菌鉴定水平从到属提升至种。将免疫磁珠技术与MALDI-TOF MS相结合，建立适配多种食品基质的多靶标食源性病原微生物溯源检测平台，将常见食源性病原微生物的分型鉴定溯源时间由几天缩短到30分钟内。首次建立阪崎克罗诺杆菌MALDI-TOF MS蛋白指纹图谱数据库，将阪崎克罗诺杆菌的鉴定水平从属提升至种，准确率达到100%，创造性地将基因大数据分析方法引入阪崎克罗诺杆菌分型鉴定，建立基于</w:t>
            </w:r>
            <w:r>
              <w:rPr>
                <w:rFonts w:ascii="Times New Roman" w:hAnsi="Times New Roman"/>
                <w:bCs/>
                <w:i/>
                <w:iCs/>
                <w:color w:val="353535"/>
                <w:kern w:val="0"/>
                <w:szCs w:val="21"/>
              </w:rPr>
              <w:t>fusA</w:t>
            </w:r>
            <w:r>
              <w:rPr>
                <w:rFonts w:ascii="Times New Roman" w:hAnsi="Times New Roman"/>
                <w:bCs/>
                <w:color w:val="353535"/>
                <w:kern w:val="0"/>
                <w:szCs w:val="21"/>
              </w:rPr>
              <w:t>基因测序的阪崎克罗诺杆菌鉴定方法，从基因层面实现了阪崎克罗诺杆菌种水平的分型鉴定。相关方法已制定成行业标准。</w:t>
            </w:r>
          </w:p>
          <w:p w14:paraId="2F35BCE3">
            <w:pPr>
              <w:snapToGrid w:val="0"/>
              <w:spacing w:line="360" w:lineRule="auto"/>
              <w:ind w:firstLine="420" w:firstLineChars="200"/>
              <w:rPr>
                <w:rFonts w:ascii="Times New Roman" w:hAnsi="Times New Roman"/>
                <w:bCs/>
                <w:color w:val="353535"/>
                <w:kern w:val="0"/>
                <w:szCs w:val="21"/>
              </w:rPr>
            </w:pPr>
            <w:r>
              <w:rPr>
                <w:rFonts w:ascii="Times New Roman" w:hAnsi="Times New Roman"/>
                <w:bCs/>
                <w:color w:val="353535"/>
                <w:kern w:val="0"/>
                <w:szCs w:val="21"/>
              </w:rPr>
              <w:t>3．多技术联用建立了常见致病微生物的鉴定分型方法和标准化体系，显著提升常见食源性致病菌鉴定溯源的精准性和时效性。建立了沙门氏菌、肺炎克雷伯菌、阪崎克罗诺杆菌、金黄色葡萄球菌、单增李斯特菌、产气荚膜梭菌等致病微生物的HRM、MLST、MALDI-TOF-MS、LAMP、RAA等多种鉴别和分型方法，可用于食品中常见致病微生物的精准鉴定和溯源，并已制定多项行业标准进行了广泛应用。</w:t>
            </w:r>
          </w:p>
          <w:p w14:paraId="3B9C2BE1">
            <w:pPr>
              <w:snapToGrid w:val="0"/>
              <w:spacing w:line="360" w:lineRule="auto"/>
              <w:ind w:firstLine="420" w:firstLineChars="200"/>
              <w:rPr>
                <w:rFonts w:ascii="Times New Roman" w:hAnsi="Times New Roman"/>
                <w:bCs/>
                <w:color w:val="353535"/>
                <w:kern w:val="0"/>
                <w:szCs w:val="21"/>
              </w:rPr>
            </w:pPr>
            <w:r>
              <w:rPr>
                <w:rFonts w:ascii="Times New Roman" w:hAnsi="Times New Roman"/>
                <w:bCs/>
                <w:color w:val="353535"/>
                <w:kern w:val="0"/>
                <w:szCs w:val="21"/>
              </w:rPr>
              <w:t>本项目获得国家发明专利授权</w:t>
            </w:r>
            <w:r>
              <w:rPr>
                <w:rFonts w:hint="eastAsia" w:ascii="Times New Roman" w:hAnsi="Times New Roman"/>
                <w:bCs/>
                <w:color w:val="353535"/>
                <w:kern w:val="0"/>
                <w:szCs w:val="21"/>
              </w:rPr>
              <w:t>9</w:t>
            </w:r>
            <w:r>
              <w:rPr>
                <w:rFonts w:ascii="Times New Roman" w:hAnsi="Times New Roman"/>
                <w:bCs/>
                <w:color w:val="353535"/>
                <w:kern w:val="0"/>
                <w:szCs w:val="21"/>
              </w:rPr>
              <w:t>项；输出</w:t>
            </w:r>
            <w:r>
              <w:rPr>
                <w:rFonts w:hint="eastAsia" w:ascii="Times New Roman" w:hAnsi="Times New Roman"/>
                <w:bCs/>
                <w:color w:val="353535"/>
                <w:kern w:val="0"/>
                <w:szCs w:val="21"/>
              </w:rPr>
              <w:t>有证国家标准样品2项，</w:t>
            </w:r>
            <w:r>
              <w:rPr>
                <w:rFonts w:ascii="Times New Roman" w:hAnsi="Times New Roman"/>
                <w:bCs/>
                <w:color w:val="353535"/>
                <w:kern w:val="0"/>
                <w:szCs w:val="21"/>
              </w:rPr>
              <w:t>检验检疫行业标准</w:t>
            </w:r>
            <w:r>
              <w:rPr>
                <w:rFonts w:hint="eastAsia" w:ascii="Times New Roman" w:hAnsi="Times New Roman"/>
                <w:bCs/>
                <w:color w:val="353535"/>
                <w:kern w:val="0"/>
                <w:szCs w:val="21"/>
              </w:rPr>
              <w:t>10</w:t>
            </w:r>
            <w:r>
              <w:rPr>
                <w:rFonts w:ascii="Times New Roman" w:hAnsi="Times New Roman"/>
                <w:bCs/>
                <w:color w:val="353535"/>
                <w:kern w:val="0"/>
                <w:szCs w:val="21"/>
              </w:rPr>
              <w:t>项；发表科技论文</w:t>
            </w:r>
            <w:r>
              <w:rPr>
                <w:rFonts w:hint="eastAsia" w:ascii="Times New Roman" w:hAnsi="Times New Roman"/>
                <w:bCs/>
                <w:color w:val="353535"/>
                <w:kern w:val="0"/>
                <w:szCs w:val="21"/>
              </w:rPr>
              <w:t>21</w:t>
            </w:r>
            <w:r>
              <w:rPr>
                <w:rFonts w:ascii="Times New Roman" w:hAnsi="Times New Roman"/>
                <w:bCs/>
                <w:color w:val="353535"/>
                <w:kern w:val="0"/>
                <w:szCs w:val="21"/>
              </w:rPr>
              <w:t>篇，其中SCI论文</w:t>
            </w:r>
            <w:r>
              <w:rPr>
                <w:rFonts w:hint="eastAsia" w:ascii="Times New Roman" w:hAnsi="Times New Roman"/>
                <w:bCs/>
                <w:color w:val="353535"/>
                <w:kern w:val="0"/>
                <w:szCs w:val="21"/>
              </w:rPr>
              <w:t>5</w:t>
            </w:r>
            <w:r>
              <w:rPr>
                <w:rFonts w:ascii="Times New Roman" w:hAnsi="Times New Roman"/>
                <w:bCs/>
                <w:color w:val="353535"/>
                <w:kern w:val="0"/>
                <w:szCs w:val="21"/>
              </w:rPr>
              <w:t>篇。</w:t>
            </w:r>
          </w:p>
          <w:p w14:paraId="3531B65E">
            <w:pPr>
              <w:snapToGrid w:val="0"/>
              <w:spacing w:line="360" w:lineRule="auto"/>
              <w:ind w:firstLine="420" w:firstLineChars="200"/>
              <w:rPr>
                <w:rFonts w:hint="eastAsia" w:ascii="方正仿宋_GBK" w:hAnsi="Microsoft YaHei UI" w:eastAsia="方正仿宋_GBK"/>
                <w:b/>
                <w:color w:val="353535"/>
                <w:kern w:val="0"/>
                <w:sz w:val="24"/>
                <w:szCs w:val="24"/>
              </w:rPr>
            </w:pPr>
            <w:r>
              <w:rPr>
                <w:rFonts w:ascii="Times New Roman" w:hAnsi="Times New Roman"/>
                <w:bCs/>
                <w:color w:val="353535"/>
                <w:kern w:val="0"/>
                <w:szCs w:val="21"/>
              </w:rPr>
              <w:t>相关成果已在海关系统及第三方检测机构广泛应用，可为食源性致病菌快速检测提供灵敏、准确、高通量的检测溯源方案，缩短50—80%检测周期，提高通关速度，降低检测成本。成果产出的系列技术标准可进一步完善我国食品安全技术体系，增强我国食品产品的市场竞争力，提高出口产品技术含量，打破发达国家的技术垄断，使我国在食源性病原微生物检测领域达到国际先进水平。同时可替代进口产品并节约成本，增加我国在食品微生物方面的监控力度，提高我国食品生产企业的技术水平和政府部门监管的执法水平。项目研究成果为食品安全监测、进出口检验检疫、疾病预防控制、卫生监督等提供快速、有效的诊断手段，同时对流行病学调查、控制食源性病原微生物引起的传染病疫情暴发和应急预防等具有重要的实际社会意义。</w:t>
            </w:r>
          </w:p>
        </w:tc>
      </w:tr>
    </w:tbl>
    <w:p w14:paraId="73E6528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93243-8CD7-42E8-AB5E-FF70FFDFE2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953630C-3A3B-44C5-A4F8-6BA0051FCBC7}"/>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Segoe UI Symbol">
    <w:panose1 w:val="020B0502040204020203"/>
    <w:charset w:val="00"/>
    <w:family w:val="swiss"/>
    <w:pitch w:val="default"/>
    <w:sig w:usb0="8000006F" w:usb1="1200FBEF" w:usb2="0064C000" w:usb3="00000002" w:csb0="00000001" w:csb1="40000000"/>
    <w:embedRegular r:id="rId3" w:fontKey="{73A1830A-2AA9-4934-A0A8-CC7FC2B87DE4}"/>
  </w:font>
  <w:font w:name="Wingdings 2">
    <w:panose1 w:val="05020102010507070707"/>
    <w:charset w:val="02"/>
    <w:family w:val="roman"/>
    <w:pitch w:val="default"/>
    <w:sig w:usb0="00000000" w:usb1="00000000" w:usb2="00000000" w:usb3="00000000" w:csb0="80000000" w:csb1="00000000"/>
    <w:embedRegular r:id="rId4" w:fontKey="{D48196EB-F363-46F6-A894-BD24D69A9254}"/>
  </w:font>
  <w:font w:name="方正仿宋_GBK">
    <w:panose1 w:val="03000509000000000000"/>
    <w:charset w:val="86"/>
    <w:family w:val="script"/>
    <w:pitch w:val="default"/>
    <w:sig w:usb0="00000001" w:usb1="080E0000" w:usb2="00000000" w:usb3="00000000" w:csb0="00040000" w:csb1="00000000"/>
    <w:embedRegular r:id="rId5" w:fontKey="{84DBAA07-9EBE-4067-9B01-8EC6319CC74C}"/>
  </w:font>
  <w:font w:name="Microsoft YaHei UI">
    <w:panose1 w:val="020B0503020204020204"/>
    <w:charset w:val="86"/>
    <w:family w:val="swiss"/>
    <w:pitch w:val="default"/>
    <w:sig w:usb0="80000287" w:usb1="2ACF3C50" w:usb2="00000016" w:usb3="00000000" w:csb0="0004001F" w:csb1="00000000"/>
    <w:embedRegular r:id="rId6" w:fontKey="{9D67309C-05AE-4779-8EEB-BF0F2A7C7F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compressPunctuation"/>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AA"/>
    <w:rsid w:val="00044925"/>
    <w:rsid w:val="00053DFA"/>
    <w:rsid w:val="0006492A"/>
    <w:rsid w:val="0006746A"/>
    <w:rsid w:val="000739B5"/>
    <w:rsid w:val="000C4122"/>
    <w:rsid w:val="00120392"/>
    <w:rsid w:val="00123BD0"/>
    <w:rsid w:val="00141D56"/>
    <w:rsid w:val="00153F30"/>
    <w:rsid w:val="001C046C"/>
    <w:rsid w:val="00364AEA"/>
    <w:rsid w:val="00382255"/>
    <w:rsid w:val="004924B3"/>
    <w:rsid w:val="005164BC"/>
    <w:rsid w:val="00527D22"/>
    <w:rsid w:val="0053198B"/>
    <w:rsid w:val="00595C61"/>
    <w:rsid w:val="005F40B6"/>
    <w:rsid w:val="006342CF"/>
    <w:rsid w:val="006B104D"/>
    <w:rsid w:val="00737707"/>
    <w:rsid w:val="007E29B6"/>
    <w:rsid w:val="00802636"/>
    <w:rsid w:val="008613ED"/>
    <w:rsid w:val="00863A63"/>
    <w:rsid w:val="009773AA"/>
    <w:rsid w:val="00991921"/>
    <w:rsid w:val="0099330D"/>
    <w:rsid w:val="009C177B"/>
    <w:rsid w:val="009C2D8B"/>
    <w:rsid w:val="00A456CF"/>
    <w:rsid w:val="00AD23AA"/>
    <w:rsid w:val="00B32B39"/>
    <w:rsid w:val="00BE51D0"/>
    <w:rsid w:val="00C838EB"/>
    <w:rsid w:val="00CC4515"/>
    <w:rsid w:val="00DA4D64"/>
    <w:rsid w:val="00DB7E1A"/>
    <w:rsid w:val="00E129D2"/>
    <w:rsid w:val="00E17DF7"/>
    <w:rsid w:val="00E56D49"/>
    <w:rsid w:val="00EA78F0"/>
    <w:rsid w:val="00EE724B"/>
    <w:rsid w:val="00FB049D"/>
    <w:rsid w:val="1D990835"/>
    <w:rsid w:val="30487826"/>
    <w:rsid w:val="406C3551"/>
    <w:rsid w:val="47F83E53"/>
    <w:rsid w:val="4D777B67"/>
    <w:rsid w:val="4EF92B93"/>
    <w:rsid w:val="6A2A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2"/>
    <w:uiPriority w:val="0"/>
    <w:pPr>
      <w:tabs>
        <w:tab w:val="center" w:pos="4153"/>
        <w:tab w:val="right" w:pos="8306"/>
      </w:tabs>
      <w:snapToGrid w:val="0"/>
      <w:jc w:val="left"/>
    </w:pPr>
    <w:rPr>
      <w:sz w:val="18"/>
      <w:szCs w:val="18"/>
    </w:rPr>
  </w:style>
  <w:style w:type="paragraph" w:styleId="3">
    <w:name w:val="header"/>
    <w:basedOn w:val="1"/>
    <w:link w:val="21"/>
    <w:uiPriority w:val="0"/>
    <w:pPr>
      <w:tabs>
        <w:tab w:val="center" w:pos="4153"/>
        <w:tab w:val="right" w:pos="8306"/>
      </w:tabs>
      <w:snapToGrid w:val="0"/>
      <w:jc w:val="center"/>
    </w:pPr>
    <w:rPr>
      <w:sz w:val="18"/>
      <w:szCs w:val="18"/>
    </w:rPr>
  </w:style>
  <w:style w:type="character" w:customStyle="1" w:styleId="6">
    <w:name w:val="默认段落字体1"/>
    <w:semiHidden/>
    <w:qFormat/>
    <w:uiPriority w:val="0"/>
  </w:style>
  <w:style w:type="table" w:customStyle="1" w:styleId="7">
    <w:name w:val="普通表格1"/>
    <w:semiHidden/>
    <w:qFormat/>
    <w:uiPriority w:val="0"/>
    <w:tblPr>
      <w:tblCellMar>
        <w:top w:w="0" w:type="dxa"/>
        <w:left w:w="0" w:type="dxa"/>
        <w:bottom w:w="0" w:type="dxa"/>
        <w:right w:w="0" w:type="dxa"/>
      </w:tblCellMar>
    </w:tblPr>
  </w:style>
  <w:style w:type="paragraph" w:customStyle="1" w:styleId="8">
    <w:name w:val="正文文本1"/>
    <w:basedOn w:val="1"/>
    <w:semiHidden/>
    <w:qFormat/>
    <w:uiPriority w:val="0"/>
    <w:rPr>
      <w:rFonts w:ascii="仿宋" w:hAnsi="仿宋" w:eastAsia="仿宋"/>
      <w:sz w:val="31"/>
      <w:szCs w:val="31"/>
      <w:lang w:eastAsia="en-US"/>
    </w:rPr>
  </w:style>
  <w:style w:type="paragraph" w:customStyle="1" w:styleId="9">
    <w:name w:val="纯文本1"/>
    <w:basedOn w:val="1"/>
    <w:qFormat/>
    <w:uiPriority w:val="0"/>
    <w:pPr>
      <w:spacing w:line="360" w:lineRule="auto"/>
      <w:ind w:firstLine="480" w:firstLineChars="200"/>
    </w:pPr>
    <w:rPr>
      <w:rFonts w:ascii="仿宋_GB2312"/>
      <w:sz w:val="24"/>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字符"/>
    <w:link w:val="10"/>
    <w:qFormat/>
    <w:uiPriority w:val="0"/>
    <w:rPr>
      <w:rFonts w:ascii="Calibri" w:hAnsi="Calibri"/>
      <w:kern w:val="2"/>
      <w:sz w:val="18"/>
      <w:szCs w:val="18"/>
    </w:rPr>
  </w:style>
  <w:style w:type="paragraph" w:customStyle="1" w:styleId="12">
    <w:name w:val="页眉1"/>
    <w:basedOn w:val="1"/>
    <w:link w:val="13"/>
    <w:qFormat/>
    <w:uiPriority w:val="0"/>
    <w:pPr>
      <w:tabs>
        <w:tab w:val="center" w:pos="4153"/>
        <w:tab w:val="right" w:pos="8306"/>
      </w:tabs>
      <w:snapToGrid w:val="0"/>
      <w:jc w:val="center"/>
    </w:pPr>
    <w:rPr>
      <w:sz w:val="18"/>
      <w:szCs w:val="18"/>
    </w:rPr>
  </w:style>
  <w:style w:type="character" w:customStyle="1" w:styleId="13">
    <w:name w:val="页眉 字符"/>
    <w:link w:val="12"/>
    <w:uiPriority w:val="0"/>
    <w:rPr>
      <w:rFonts w:ascii="Calibri" w:hAnsi="Calibri"/>
      <w:kern w:val="2"/>
      <w:sz w:val="18"/>
      <w:szCs w:val="18"/>
    </w:rPr>
  </w:style>
  <w:style w:type="paragraph" w:customStyle="1" w:styleId="14">
    <w:name w:val="普通(网站)1"/>
    <w:basedOn w:val="1"/>
    <w:qFormat/>
    <w:uiPriority w:val="0"/>
    <w:pPr>
      <w:spacing w:before="100" w:beforeAutospacing="1" w:after="100" w:afterAutospacing="1"/>
      <w:jc w:val="left"/>
    </w:pPr>
    <w:rPr>
      <w:kern w:val="0"/>
      <w:sz w:val="24"/>
    </w:rPr>
  </w:style>
  <w:style w:type="paragraph" w:customStyle="1" w:styleId="15">
    <w:name w:val="标题1"/>
    <w:basedOn w:val="1"/>
    <w:qFormat/>
    <w:uiPriority w:val="0"/>
    <w:pPr>
      <w:spacing w:before="240" w:after="60"/>
      <w:jc w:val="center"/>
      <w:outlineLvl w:val="0"/>
    </w:pPr>
    <w:rPr>
      <w:rFonts w:ascii="Cambria" w:hAnsi="Cambria"/>
      <w:sz w:val="36"/>
      <w:szCs w:val="36"/>
    </w:rPr>
  </w:style>
  <w:style w:type="character" w:customStyle="1" w:styleId="16">
    <w:name w:val="超链接1"/>
    <w:qFormat/>
    <w:uiPriority w:val="0"/>
    <w:rPr>
      <w:color w:val="0000FF"/>
      <w:u w:val="single"/>
    </w:rPr>
  </w:style>
  <w:style w:type="character" w:customStyle="1" w:styleId="17">
    <w:name w:val="title1"/>
    <w:qFormat/>
    <w:uiPriority w:val="0"/>
    <w:rPr>
      <w:b/>
      <w:bCs/>
      <w:color w:val="999900"/>
      <w:sz w:val="24"/>
      <w:szCs w:val="24"/>
    </w:rPr>
  </w:style>
  <w:style w:type="character" w:customStyle="1" w:styleId="18">
    <w:name w:val="fontstyle01"/>
    <w:qFormat/>
    <w:uiPriority w:val="0"/>
    <w:rPr>
      <w:rFonts w:hint="eastAsia" w:ascii="宋体" w:hAnsi="宋体" w:eastAsia="宋体"/>
      <w:color w:val="000000"/>
      <w:sz w:val="24"/>
      <w:szCs w:val="24"/>
    </w:rPr>
  </w:style>
  <w:style w:type="paragraph" w:customStyle="1" w:styleId="19">
    <w:name w:val="批注文字1"/>
    <w:basedOn w:val="1"/>
    <w:link w:val="20"/>
    <w:uiPriority w:val="0"/>
    <w:pPr>
      <w:widowControl/>
      <w:kinsoku w:val="0"/>
      <w:autoSpaceDE w:val="0"/>
      <w:autoSpaceDN w:val="0"/>
      <w:snapToGrid w:val="0"/>
      <w:jc w:val="left"/>
    </w:pPr>
    <w:rPr>
      <w:rFonts w:ascii="Arial" w:hAnsi="Arial" w:eastAsia="Arial"/>
      <w:color w:val="000000"/>
      <w:kern w:val="0"/>
      <w:szCs w:val="21"/>
      <w:lang w:eastAsia="en-US"/>
    </w:rPr>
  </w:style>
  <w:style w:type="character" w:customStyle="1" w:styleId="20">
    <w:name w:val="批注文字 字符"/>
    <w:link w:val="19"/>
    <w:qFormat/>
    <w:uiPriority w:val="0"/>
    <w:rPr>
      <w:rFonts w:ascii="Arial" w:hAnsi="Arial" w:eastAsia="Arial"/>
      <w:color w:val="000000"/>
      <w:sz w:val="21"/>
      <w:szCs w:val="21"/>
      <w:lang w:eastAsia="en-US"/>
    </w:rPr>
  </w:style>
  <w:style w:type="character" w:customStyle="1" w:styleId="21">
    <w:name w:val="页眉 字符1"/>
    <w:basedOn w:val="5"/>
    <w:link w:val="3"/>
    <w:uiPriority w:val="0"/>
    <w:rPr>
      <w:rFonts w:ascii="Calibri" w:hAnsi="Calibri"/>
      <w:kern w:val="2"/>
      <w:sz w:val="18"/>
      <w:szCs w:val="18"/>
    </w:rPr>
  </w:style>
  <w:style w:type="character" w:customStyle="1" w:styleId="22">
    <w:name w:val="页脚 字符1"/>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2011</Words>
  <Characters>2310</Characters>
  <Lines>17</Lines>
  <Paragraphs>4</Paragraphs>
  <TotalTime>103</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2026-03-20T08:24:00Z</dcterms:created>
  <dc:creator>Wz</dc:creator>
  <cp:lastModifiedBy>王娟君</cp:lastModifiedBy>
  <cp:lastPrinted>2026-03-16T06:59:00Z</cp:lastPrinted>
  <dcterms:modified xsi:type="dcterms:W3CDTF">2026-03-23T07:29:20Z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eyJoZGlkIjoiMzYzMGQ1YTZmNDU3OGUwMGFmYmE3YzEwODliNDNhNTIiLCJ1c2VySWQiOiIxNjYyNTA4NjkyIn0=</vt:lpwstr>
  </property>
  <property fmtid="{D5CDD505-2E9C-101B-9397-08002B2CF9AE}" pid="3" name="KSOProductBuildVer">
    <vt:lpwstr>2052-12.1.0.24034</vt:lpwstr>
  </property>
  <property fmtid="{D5CDD505-2E9C-101B-9397-08002B2CF9AE}" pid="4" name="ICV">
    <vt:lpwstr>2E8F4BFDF0184155A45B93721354865E_13</vt:lpwstr>
  </property>
</Properties>
</file>