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9ABF">
      <w:pPr>
        <w:widowControl/>
        <w:snapToGrid w:val="0"/>
        <w:spacing w:line="360" w:lineRule="auto"/>
        <w:jc w:val="left"/>
        <w:rPr>
          <w:color w:val="000000"/>
          <w:szCs w:val="28"/>
        </w:rPr>
      </w:pPr>
      <w:bookmarkStart w:id="0" w:name="_Toc530473016"/>
      <w:r>
        <w:rPr>
          <w:rFonts w:eastAsia="黑体"/>
          <w:bCs/>
          <w:color w:val="000000"/>
          <w:szCs w:val="28"/>
        </w:rPr>
        <w:t>附表5：</w:t>
      </w:r>
    </w:p>
    <w:p w14:paraId="19C59244">
      <w:pPr>
        <w:spacing w:line="100" w:lineRule="exact"/>
        <w:jc w:val="center"/>
        <w:rPr>
          <w:color w:val="000000"/>
          <w:sz w:val="36"/>
          <w:szCs w:val="36"/>
        </w:rPr>
      </w:pPr>
    </w:p>
    <w:bookmarkEnd w:id="0"/>
    <w:p w14:paraId="4B88FE5D">
      <w:pPr>
        <w:spacing w:line="740" w:lineRule="exact"/>
        <w:jc w:val="center"/>
        <w:outlineLvl w:val="2"/>
        <w:rPr>
          <w:rFonts w:eastAsia="黑体"/>
          <w:color w:val="000000"/>
          <w:sz w:val="32"/>
          <w:szCs w:val="32"/>
        </w:rPr>
      </w:pPr>
      <w:bookmarkStart w:id="1" w:name="_Toc2124023149"/>
      <w:bookmarkStart w:id="2" w:name="_Toc1099067205"/>
      <w:bookmarkStart w:id="3" w:name="_Toc1827832502"/>
      <w:bookmarkStart w:id="4" w:name="_Toc2131911538"/>
      <w:bookmarkStart w:id="5" w:name="_Toc175603519"/>
      <w:bookmarkStart w:id="6" w:name="_Toc357348418"/>
      <w:bookmarkStart w:id="7" w:name="_Toc1423068732"/>
      <w:bookmarkStart w:id="8" w:name="_Toc1550903188"/>
      <w:r>
        <w:rPr>
          <w:rFonts w:hint="eastAsia" w:eastAsia="黑体"/>
          <w:color w:val="000000"/>
          <w:sz w:val="32"/>
          <w:szCs w:val="32"/>
        </w:rPr>
        <w:t>2025年度</w:t>
      </w:r>
      <w:r>
        <w:rPr>
          <w:rFonts w:eastAsia="黑体"/>
          <w:color w:val="000000"/>
          <w:sz w:val="32"/>
          <w:szCs w:val="32"/>
        </w:rPr>
        <w:t>海南省科学技术奖提名公示内容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1931072">
      <w:pPr>
        <w:spacing w:line="100" w:lineRule="exact"/>
        <w:jc w:val="center"/>
        <w:rPr>
          <w:rFonts w:eastAsia="仿宋_GB2312"/>
          <w:color w:val="000000"/>
          <w:sz w:val="32"/>
          <w:szCs w:val="32"/>
        </w:rPr>
      </w:pPr>
    </w:p>
    <w:p w14:paraId="61EADD5F">
      <w:pPr>
        <w:spacing w:line="440" w:lineRule="exact"/>
        <w:jc w:val="center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（适用于项目主要完成单位、主要完成人所在单位）</w:t>
      </w:r>
    </w:p>
    <w:p w14:paraId="0A3B7E4D">
      <w:pPr>
        <w:spacing w:line="440" w:lineRule="exact"/>
        <w:rPr>
          <w:rFonts w:hint="eastAsia" w:ascii="宋体" w:hAnsi="宋体" w:cs="宋体"/>
          <w:szCs w:val="24"/>
        </w:rPr>
      </w:pPr>
    </w:p>
    <w:p w14:paraId="2768FBF5">
      <w:pPr>
        <w:spacing w:line="440" w:lineRule="exact"/>
        <w:jc w:val="center"/>
        <w:rPr>
          <w:szCs w:val="24"/>
        </w:rPr>
      </w:pPr>
      <w:r>
        <w:rPr>
          <w:szCs w:val="24"/>
        </w:rPr>
        <w:t>公示单位（公章）：                 填表日期：</w:t>
      </w:r>
      <w:r>
        <w:rPr>
          <w:rFonts w:hint="eastAsia"/>
          <w:szCs w:val="24"/>
          <w:lang w:val="en-US" w:eastAsia="zh-CN"/>
        </w:rPr>
        <w:t>2026</w:t>
      </w:r>
      <w:r>
        <w:rPr>
          <w:szCs w:val="24"/>
        </w:rPr>
        <w:t xml:space="preserve"> 年 </w:t>
      </w:r>
      <w:r>
        <w:rPr>
          <w:rFonts w:hint="eastAsia"/>
          <w:szCs w:val="24"/>
          <w:lang w:val="en-US" w:eastAsia="zh-CN"/>
        </w:rPr>
        <w:t>3</w:t>
      </w:r>
      <w:r>
        <w:rPr>
          <w:szCs w:val="24"/>
        </w:rPr>
        <w:t xml:space="preserve"> 月</w:t>
      </w:r>
      <w:r>
        <w:rPr>
          <w:rFonts w:hint="eastAsia"/>
          <w:szCs w:val="24"/>
          <w:lang w:val="en-US" w:eastAsia="zh-CN"/>
        </w:rPr>
        <w:t>2</w:t>
      </w:r>
      <w:r>
        <w:rPr>
          <w:szCs w:val="24"/>
        </w:rPr>
        <w:t xml:space="preserve"> 日</w:t>
      </w:r>
    </w:p>
    <w:tbl>
      <w:tblPr>
        <w:tblStyle w:val="1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7051"/>
      </w:tblGrid>
      <w:tr w14:paraId="17E5D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69" w:type="dxa"/>
            <w:vAlign w:val="center"/>
          </w:tcPr>
          <w:p w14:paraId="0196B163">
            <w:pPr>
              <w:jc w:val="center"/>
              <w:rPr>
                <w:rStyle w:val="39"/>
                <w:color w:val="auto"/>
              </w:rPr>
            </w:pPr>
            <w:r>
              <w:rPr>
                <w:rStyle w:val="39"/>
                <w:color w:val="auto"/>
              </w:rPr>
              <w:t>项目名称</w:t>
            </w:r>
          </w:p>
        </w:tc>
        <w:tc>
          <w:tcPr>
            <w:tcW w:w="7051" w:type="dxa"/>
            <w:vAlign w:val="center"/>
          </w:tcPr>
          <w:p w14:paraId="0D1FCC1B">
            <w:pPr>
              <w:contextualSpacing/>
              <w:jc w:val="center"/>
              <w:rPr>
                <w:rStyle w:val="39"/>
                <w:b w:val="0"/>
                <w:color w:val="auto"/>
              </w:rPr>
            </w:pPr>
            <w:r>
              <w:rPr>
                <w:rFonts w:hint="eastAsia"/>
                <w:sz w:val="24"/>
              </w:rPr>
              <w:t>食品中典型晚期糖基化终末产物的危害控制与作用机制</w:t>
            </w:r>
          </w:p>
        </w:tc>
      </w:tr>
      <w:tr w14:paraId="51BE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69" w:type="dxa"/>
            <w:vAlign w:val="center"/>
          </w:tcPr>
          <w:p w14:paraId="667F4F2F">
            <w:pPr>
              <w:jc w:val="center"/>
              <w:rPr>
                <w:rStyle w:val="39"/>
                <w:color w:val="auto"/>
              </w:rPr>
            </w:pPr>
            <w:r>
              <w:rPr>
                <w:rStyle w:val="39"/>
                <w:color w:val="auto"/>
              </w:rPr>
              <w:t>提名奖项及等级</w:t>
            </w:r>
          </w:p>
        </w:tc>
        <w:tc>
          <w:tcPr>
            <w:tcW w:w="7051" w:type="dxa"/>
            <w:vAlign w:val="center"/>
          </w:tcPr>
          <w:p w14:paraId="3D0DB3F9">
            <w:pPr>
              <w:jc w:val="center"/>
              <w:rPr>
                <w:rStyle w:val="39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Style w:val="39"/>
                <w:rFonts w:hint="eastAsia"/>
                <w:b w:val="0"/>
                <w:color w:val="auto"/>
                <w:lang w:val="en-US" w:eastAsia="zh-CN"/>
              </w:rPr>
              <w:t>海南省自然科学奖，一等奖</w:t>
            </w:r>
          </w:p>
        </w:tc>
      </w:tr>
      <w:tr w14:paraId="4DD2F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269" w:type="dxa"/>
            <w:vAlign w:val="center"/>
          </w:tcPr>
          <w:p w14:paraId="0A3F0DB9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rStyle w:val="39"/>
                <w:color w:val="auto"/>
              </w:rPr>
              <w:t>提名者</w:t>
            </w:r>
          </w:p>
        </w:tc>
        <w:tc>
          <w:tcPr>
            <w:tcW w:w="7051" w:type="dxa"/>
            <w:vAlign w:val="center"/>
          </w:tcPr>
          <w:p w14:paraId="7BCEF67C">
            <w:pPr>
              <w:contextualSpacing/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中国热带农业科学院</w:t>
            </w:r>
          </w:p>
        </w:tc>
      </w:tr>
      <w:tr w14:paraId="3F9C4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07FF35C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项目简介（1200字以内）</w:t>
            </w:r>
          </w:p>
        </w:tc>
        <w:tc>
          <w:tcPr>
            <w:tcW w:w="7051" w:type="dxa"/>
            <w:tcBorders>
              <w:left w:val="single" w:color="auto" w:sz="4" w:space="0"/>
            </w:tcBorders>
            <w:vAlign w:val="center"/>
          </w:tcPr>
          <w:p w14:paraId="72E3CC58">
            <w:pPr>
              <w:spacing w:line="360" w:lineRule="exact"/>
              <w:ind w:firstLine="480" w:firstLineChars="200"/>
              <w:jc w:val="left"/>
              <w:outlineLvl w:val="3"/>
              <w:rPr>
                <w:sz w:val="24"/>
              </w:rPr>
            </w:pPr>
            <w:r>
              <w:rPr>
                <w:sz w:val="24"/>
              </w:rPr>
              <w:t>晚期糖基化终末产物（AGEs）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>非酶糖基化反应生成的稳定聚合产物，</w:t>
            </w:r>
            <w:r>
              <w:rPr>
                <w:rFonts w:hint="eastAsia"/>
                <w:sz w:val="24"/>
              </w:rPr>
              <w:t>可诱发糖尿病等多种慢性疾病。</w:t>
            </w:r>
            <w:r>
              <w:rPr>
                <w:sz w:val="24"/>
              </w:rPr>
              <w:t>有效控制</w:t>
            </w:r>
            <w:r>
              <w:rPr>
                <w:rFonts w:hint="eastAsia"/>
                <w:sz w:val="24"/>
              </w:rPr>
              <w:t>膳食</w:t>
            </w:r>
            <w:r>
              <w:rPr>
                <w:sz w:val="24"/>
              </w:rPr>
              <w:t>中AGEs的产生，对于提升食品安全水平和预防疾病具有重要意义。当前该领域研究存在典型AGEs及其前体检测方法缺失、天然抑制剂作用机制不明、体内代谢规律不清等核心短板。项目组针对上述关键科学问题开展了十余年的系统研究，取得三个重要科学发现：</w:t>
            </w:r>
          </w:p>
          <w:p w14:paraId="2842857E">
            <w:pPr>
              <w:spacing w:line="360" w:lineRule="exact"/>
              <w:ind w:firstLine="480" w:firstLineChars="200"/>
              <w:jc w:val="left"/>
              <w:outlineLvl w:val="3"/>
              <w:rPr>
                <w:sz w:val="24"/>
              </w:rPr>
            </w:pPr>
            <w:r>
              <w:rPr>
                <w:sz w:val="24"/>
              </w:rPr>
              <w:t>（1）建立精准检测与加工调控体系，突破 AGEs 风险识别溯源瓶颈：针对食品</w:t>
            </w:r>
            <w:r>
              <w:rPr>
                <w:rFonts w:hint="eastAsia"/>
                <w:sz w:val="24"/>
              </w:rPr>
              <w:t>复杂</w:t>
            </w:r>
            <w:r>
              <w:rPr>
                <w:sz w:val="24"/>
              </w:rPr>
              <w:t>基质</w:t>
            </w:r>
            <w:r>
              <w:rPr>
                <w:rFonts w:hint="eastAsia"/>
                <w:sz w:val="24"/>
              </w:rPr>
              <w:t>干扰</w:t>
            </w:r>
            <w:r>
              <w:rPr>
                <w:sz w:val="24"/>
              </w:rPr>
              <w:t>，构建了涵盖N-ε-羧甲基赖氨酸（CML）、N-ε-羧乙基赖氨酸（CEL）等典型 AGEs及甲基</w:t>
            </w:r>
            <w:bookmarkStart w:id="9" w:name="OLE_LINK2"/>
            <w:r>
              <w:rPr>
                <w:sz w:val="24"/>
              </w:rPr>
              <w:t>乙二醛</w:t>
            </w:r>
            <w:bookmarkEnd w:id="9"/>
            <w:r>
              <w:rPr>
                <w:sz w:val="24"/>
              </w:rPr>
              <w:t>（MGO）等核心前体的精准检测方法，解决了热加工过程中有害产物看不见、测准难的痛点；通过真实食品模型，厘清了高温（&gt;120°C）、剧烈热处理（煎炸烤）及重复加热对AGEs生成的贡献率；明确了香辛料等天然配料通过捕获活性羰基中间体实现对AGEs生成的抑制</w:t>
            </w:r>
            <w:r>
              <w:rPr>
                <w:rFonts w:hint="eastAsia"/>
                <w:sz w:val="24"/>
              </w:rPr>
              <w:t>机理</w:t>
            </w:r>
            <w:r>
              <w:rPr>
                <w:sz w:val="24"/>
              </w:rPr>
              <w:t>，为工业化加工提供了量化判据。</w:t>
            </w:r>
          </w:p>
          <w:p w14:paraId="6A489C1C">
            <w:pPr>
              <w:spacing w:line="360" w:lineRule="exact"/>
              <w:ind w:firstLine="480" w:firstLineChars="200"/>
              <w:jc w:val="left"/>
              <w:outlineLvl w:val="3"/>
              <w:rPr>
                <w:sz w:val="24"/>
              </w:rPr>
            </w:pPr>
            <w:r>
              <w:rPr>
                <w:sz w:val="24"/>
              </w:rPr>
              <w:t>（2）</w:t>
            </w:r>
            <w:r>
              <w:rPr>
                <w:rFonts w:hint="eastAsia"/>
                <w:sz w:val="24"/>
              </w:rPr>
              <w:t>创制</w:t>
            </w:r>
            <w:r>
              <w:rPr>
                <w:sz w:val="24"/>
              </w:rPr>
              <w:t>高效抑制与精准递送体系，构建全过程阻断与增效技术平台：基于美拉德反应全动力学过程，从香蕉花、枸杞等天然资源中开发出多酚、多糖、亲水胶体及氨基酸等4大类共150余种高效抑制剂，系统阐明了其通过清除自由基、螯合金属离子、捕获活性羰基及屏蔽蛋白质位点等多途径协同阻断机制；构建以壳聚糖、β-乳球蛋白等为载体的纳米颗粒和双网络水凝胶递送体系，将多酚负载率大幅提升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最高</w:t>
            </w:r>
            <w:r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>9.5%，实现了活性物质在复杂加工环境下的稳定性保护与肠道定点释放，显著提升了生物利用度</w:t>
            </w:r>
            <w:r>
              <w:rPr>
                <w:rFonts w:hint="eastAsia"/>
                <w:sz w:val="24"/>
              </w:rPr>
              <w:t>和AGEs抑制活性</w:t>
            </w:r>
            <w:r>
              <w:rPr>
                <w:sz w:val="24"/>
              </w:rPr>
              <w:t>。</w:t>
            </w:r>
          </w:p>
          <w:p w14:paraId="2B2E20B3">
            <w:pPr>
              <w:spacing w:line="360" w:lineRule="exact"/>
              <w:ind w:firstLine="480" w:firstLineChars="200"/>
              <w:jc w:val="left"/>
              <w:outlineLvl w:val="3"/>
              <w:rPr>
                <w:sz w:val="24"/>
              </w:rPr>
            </w:pPr>
            <w:r>
              <w:rPr>
                <w:sz w:val="24"/>
              </w:rPr>
              <w:t>（3）揭示体内代谢规律与干预机制，阐明膳食AGEs的生物效应路径：首次阐明膳食AGEs的体内消化与转运规律，明确游离态AGE</w:t>
            </w: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>具有高系统暴露量，并揭示了其在结肠、回肠及肾脏等靶器官的蓄积倾向；基于细胞与动物模型，证实</w:t>
            </w:r>
            <w:r>
              <w:rPr>
                <w:rFonts w:hint="eastAsia"/>
                <w:sz w:val="24"/>
              </w:rPr>
              <w:t>芹菜素、</w:t>
            </w:r>
            <w:r>
              <w:rPr>
                <w:sz w:val="24"/>
              </w:rPr>
              <w:t>紫檀芪等活性物质通过抑制AGEs-RAGE轴阻断MAPK/NF-κB信号通路及NLRP3炎性小体激活，调节肠道菌群结构、激活内源性抗氧化通路，实现了从分子水平到系统层面的损伤修复与健康干预。</w:t>
            </w:r>
          </w:p>
          <w:p w14:paraId="716CCDFE">
            <w:pPr>
              <w:spacing w:line="360" w:lineRule="exact"/>
              <w:ind w:firstLine="480" w:firstLineChars="200"/>
              <w:jc w:val="left"/>
              <w:outlineLvl w:val="3"/>
              <w:rPr>
                <w:sz w:val="24"/>
              </w:rPr>
            </w:pPr>
            <w:r>
              <w:rPr>
                <w:sz w:val="24"/>
              </w:rPr>
              <w:t>项目成果有效引领了国际美拉德反应的研究，在Trends Food Sci Tech，J Agri Food Chem、Food Funct、Food Chem等食品领域顶级期刊发表论文</w:t>
            </w:r>
            <w:r>
              <w:rPr>
                <w:rFonts w:hint="eastAsia"/>
                <w:sz w:val="24"/>
              </w:rPr>
              <w:t>117</w:t>
            </w:r>
            <w:r>
              <w:rPr>
                <w:sz w:val="24"/>
              </w:rPr>
              <w:t>篇，其中SCI 收录</w:t>
            </w:r>
            <w:r>
              <w:rPr>
                <w:rFonts w:hint="eastAsia"/>
                <w:sz w:val="24"/>
              </w:rPr>
              <w:t>90</w:t>
            </w:r>
            <w:r>
              <w:rPr>
                <w:sz w:val="24"/>
              </w:rPr>
              <w:t>篇（中科院一区</w:t>
            </w:r>
            <w:r>
              <w:rPr>
                <w:rFonts w:hint="eastAsia"/>
                <w:sz w:val="24"/>
              </w:rPr>
              <w:t>67</w:t>
            </w:r>
            <w:r>
              <w:rPr>
                <w:sz w:val="24"/>
              </w:rPr>
              <w:t>篇），获授权国家发明专利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件。项目实施培养了国家级重大人才工程入选者、国家神农青年英才、全球前2%顶尖科学家等一批具有国际影响力的领军人才，为我国食品产业转型升级与“健康中国”战略的落地储备了战略科技力量。</w:t>
            </w:r>
          </w:p>
          <w:p w14:paraId="31DA0348">
            <w:pPr>
              <w:spacing w:line="360" w:lineRule="exact"/>
              <w:ind w:firstLine="480" w:firstLineChars="200"/>
              <w:jc w:val="left"/>
              <w:outlineLvl w:val="3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该成果得到国内外同行的高度认可，产生了重要学术影响，具体体现在：1）</w:t>
            </w:r>
            <w:r>
              <w:rPr>
                <w:rFonts w:hint="eastAsia"/>
                <w:sz w:val="24"/>
              </w:rPr>
              <w:t>90</w:t>
            </w:r>
            <w:r>
              <w:rPr>
                <w:sz w:val="24"/>
              </w:rPr>
              <w:t>篇论文他引达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600次，8篇代表性论文被Gut、Food Hydrocolloid等国际权威杂志他引75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次；2）发表在Mol Nutr Food Res和Food Funct的论文得到编辑和评审专家的高度认可，被遴选为杂志封面；3）项目组获批AGEs方面的国家基金项目达10项，得到了国内同行的广泛认可。</w:t>
            </w:r>
          </w:p>
        </w:tc>
      </w:tr>
      <w:tr w14:paraId="10CC1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862168E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提名书</w:t>
            </w:r>
          </w:p>
          <w:p w14:paraId="1608330F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相关内容</w:t>
            </w:r>
          </w:p>
        </w:tc>
        <w:tc>
          <w:tcPr>
            <w:tcW w:w="7051" w:type="dxa"/>
            <w:tcBorders>
              <w:left w:val="single" w:color="auto" w:sz="4" w:space="0"/>
            </w:tcBorders>
            <w:vAlign w:val="center"/>
          </w:tcPr>
          <w:p w14:paraId="5ACB3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Shen, Y., Z. Xu, and Z. Sheng,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>*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 xml:space="preserve"> Ability of resveratrol to inhibit advanced glycation end product formation and carbohydrate-hydrolyzing enzyme activity, and to conjugate methylglyoxal. Food Chemistry, 2017. 216: p. 153–160.</w:t>
            </w:r>
          </w:p>
          <w:p w14:paraId="1D544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Peng, X., K. Cheng, J. Ma, B. Chen, C. Ho, C. Lo, F. Chen, and M. Wang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>*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, Cinnamon bark proanthocyanidins as reactive carbonyl scavengers to prevent the formation of advanced glycation endproducts. Journal of Agricultural and Food Chemistry, 2008. 56(6): p. 1907–1911.</w:t>
            </w:r>
          </w:p>
          <w:p w14:paraId="63A3D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Sheng, Z., M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>*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. Gu, W. Hao, Y. Shen, W. Zhang, L. Zheng, B. Ai, X. Zheng, and Z. Xu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>*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, Physicochemical changes and glycation reaction in intermediate-moisture protein-sugar foods with and without addition of resveratrol during storage. Journal of Agricultural and Food Chemistry, 2016. 64(24): p. 5093–5100.</w:t>
            </w:r>
          </w:p>
          <w:p w14:paraId="49AAB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Zhou, Q., K. Cheng, J. Xiao, and M. Wang, The multifunctional roles of flavonoids against the formation of advanced glycation end products (ages) and ages-induced harmful effects. Trends in Food Science &amp; Technology, 2020. 103: p. 333–347.</w:t>
            </w:r>
          </w:p>
          <w:p w14:paraId="5690C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Wang, S., L. Zheng, X. Zheng, Y. Yang, D. Xiao, H. Zhang, B. Ai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>*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, and Z. Sheng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>*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, Chitosan inhibits advanced glycation end products formation in chemical models and bakery food. Food Hydrocolloids, 2022. 128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p. 107600</w:t>
            </w:r>
          </w:p>
          <w:p w14:paraId="6E5BA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Qu, W., C. Nie, J. Zhao, X. Ou, Y. Zhang, S. Yang, X. Bai, Y. Wang, J. Wang, and J. Li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>*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, Microbionne-metabolomics analysis of the impacts of long-term dietary advanced-glycation-end-product consumption on c57bl/6 mouse fecal microbiota and metabolites. Journal of Agricultural and Food Chemistry, 2018. 66(33): p. 8864–8875.</w:t>
            </w:r>
          </w:p>
          <w:p w14:paraId="18DF1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Qu, W., X. Yuan, J. Zhao, Y. Zhang, J. Hu, J. Wang, and J. Li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>*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, Dietary advanced glycation end products modify gut microbial composition and partially increase colon permeability in rats. Molecular Nutrition &amp; Food Research, 2017. 61(10)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p. 1700118</w:t>
            </w:r>
          </w:p>
          <w:p w14:paraId="2B042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Zhou, Q., K. Cheng, J. Gong, E. Li, and M. Wang</w:t>
            </w:r>
            <w:r>
              <w:rPr>
                <w:rFonts w:hint="eastAsia"/>
                <w:color w:val="000000"/>
                <w:sz w:val="21"/>
                <w:szCs w:val="28"/>
                <w:lang w:val="en-US" w:eastAsia="zh-CN"/>
              </w:rPr>
              <w:t>*</w:t>
            </w:r>
            <w:r>
              <w:rPr>
                <w:rFonts w:hint="default" w:ascii="Times New Roman"/>
                <w:color w:val="000000"/>
                <w:sz w:val="21"/>
                <w:szCs w:val="28"/>
                <w:lang w:val="en-US" w:eastAsia="zh-CN"/>
              </w:rPr>
              <w:t>, Apigenin and its methylglyoxal-adduct inhibit advanced glycation end products-induced oxidative stress and inflammation in endothelial cells. Biochemical Pharmacology, 2019. 166: p. 231–241.</w:t>
            </w:r>
          </w:p>
        </w:tc>
      </w:tr>
      <w:tr w14:paraId="2CC18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69" w:type="dxa"/>
            <w:vAlign w:val="center"/>
          </w:tcPr>
          <w:p w14:paraId="7FD415DA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主要完成人</w:t>
            </w:r>
          </w:p>
          <w:p w14:paraId="06573C5E">
            <w:pPr>
              <w:spacing w:line="440" w:lineRule="exact"/>
              <w:jc w:val="center"/>
              <w:rPr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（排序、工作单位和贡献）</w:t>
            </w:r>
          </w:p>
        </w:tc>
        <w:tc>
          <w:tcPr>
            <w:tcW w:w="7051" w:type="dxa"/>
            <w:vAlign w:val="center"/>
          </w:tcPr>
          <w:p w14:paraId="7BF203EF">
            <w:pPr>
              <w:numPr>
                <w:ilvl w:val="0"/>
                <w:numId w:val="2"/>
              </w:numPr>
              <w:spacing w:line="440" w:lineRule="exac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盛占武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中国热带农业科学院农产品加工研究所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>在项目策划、组织实施、报告撰写等方面发挥了重要作用，负责项目实施的全面工作，对该成果的创新点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bCs/>
                <w:sz w:val="24"/>
                <w:szCs w:val="24"/>
              </w:rPr>
              <w:t>和创新点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bCs/>
                <w:sz w:val="24"/>
                <w:szCs w:val="24"/>
              </w:rPr>
              <w:t>做出了创造性贡献，是3篇代表性论文的第一或通讯作者，是项目来源中两个国家基金项目的主持人。</w:t>
            </w:r>
          </w:p>
          <w:p w14:paraId="1307323B">
            <w:pPr>
              <w:numPr>
                <w:ilvl w:val="0"/>
                <w:numId w:val="2"/>
              </w:numPr>
              <w:spacing w:line="44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王明福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深圳大学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>对该成果的创新点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bCs/>
                <w:sz w:val="24"/>
                <w:szCs w:val="24"/>
              </w:rPr>
              <w:t>和创新点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bCs/>
                <w:sz w:val="24"/>
                <w:szCs w:val="24"/>
              </w:rPr>
              <w:t>做出了创造性贡献，是3篇代表性论文的通讯作者，是项目来源中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个国家基金项目的主持人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。</w:t>
            </w:r>
          </w:p>
          <w:p w14:paraId="479CE762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郑丽丽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中国热带农业科学院热带生物技术研究所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>对该成果的创新点2做出了创造性贡献。构建蛋白-多酚三配体纳米颗粒、双网络水凝胶递送体系并在体外化学模型和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真实</w:t>
            </w:r>
            <w:r>
              <w:rPr>
                <w:rFonts w:hint="eastAsia"/>
                <w:bCs/>
                <w:sz w:val="24"/>
                <w:szCs w:val="24"/>
              </w:rPr>
              <w:t>食品模型揭示其抑制机理。第一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通讯作者（含并列）发表SCI论文10篇，其中1篇代表性论文（代表性论文5），是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件主要知识产权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/>
                <w:bCs/>
                <w:sz w:val="24"/>
                <w:szCs w:val="24"/>
              </w:rPr>
              <w:t>完成人。</w:t>
            </w:r>
          </w:p>
          <w:p w14:paraId="22DE8652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李巨秀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，西北农林科技大学，</w:t>
            </w:r>
            <w:r>
              <w:rPr>
                <w:rFonts w:hint="eastAsia"/>
                <w:bCs/>
                <w:sz w:val="24"/>
                <w:szCs w:val="24"/>
              </w:rPr>
              <w:t>对该成果的创新点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bCs/>
                <w:sz w:val="24"/>
                <w:szCs w:val="24"/>
              </w:rPr>
              <w:t>做出了创造性贡献。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/>
                <w:bCs/>
                <w:sz w:val="24"/>
                <w:szCs w:val="24"/>
              </w:rPr>
              <w:t>膳食AGEs在体内的消化吸收、转运分布规律，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揭示</w:t>
            </w:r>
            <w:r>
              <w:rPr>
                <w:rFonts w:hint="eastAsia"/>
                <w:bCs/>
                <w:sz w:val="24"/>
                <w:szCs w:val="24"/>
              </w:rPr>
              <w:t>天然抑制剂干预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体内</w:t>
            </w:r>
            <w:r>
              <w:rPr>
                <w:rFonts w:hint="eastAsia"/>
                <w:bCs/>
                <w:sz w:val="24"/>
                <w:szCs w:val="24"/>
              </w:rPr>
              <w:t>AGEs诱导机体损伤的作用机制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bCs/>
                <w:sz w:val="24"/>
                <w:szCs w:val="24"/>
              </w:rPr>
              <w:t>是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篇代表性论文的通讯作者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。</w:t>
            </w:r>
          </w:p>
          <w:p w14:paraId="58D06540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杨旸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，中国热带农业科学院热带生物技术研究所，参与了该成果的创新点一和创新点二的研究工作；参与多酚、氨基酸抑制食品AGEs机理研究，获授权发明专利1项，参与发表论文9篇。</w:t>
            </w:r>
          </w:p>
          <w:p w14:paraId="0F6A7713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周倩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，深圳大学，</w:t>
            </w:r>
            <w:r>
              <w:rPr>
                <w:rFonts w:hint="eastAsia"/>
                <w:bCs/>
                <w:sz w:val="24"/>
                <w:szCs w:val="24"/>
              </w:rPr>
              <w:t>对该成果的创新点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bCs/>
                <w:sz w:val="24"/>
                <w:szCs w:val="24"/>
              </w:rPr>
              <w:t>和创新点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bCs/>
                <w:sz w:val="24"/>
                <w:szCs w:val="24"/>
              </w:rPr>
              <w:t>做出了创造性贡献，是代表性论文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4和8</w:t>
            </w:r>
            <w:r>
              <w:rPr>
                <w:rFonts w:hint="eastAsia"/>
                <w:bCs/>
                <w:sz w:val="24"/>
                <w:szCs w:val="24"/>
              </w:rPr>
              <w:t>的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/>
                <w:bCs/>
                <w:sz w:val="24"/>
                <w:szCs w:val="24"/>
              </w:rPr>
              <w:t>作者，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在天然抑制剂在体外化学模型、食品模型、细胞模型中抑制机理方面做出重要贡献。</w:t>
            </w:r>
          </w:p>
          <w:p w14:paraId="41BC5583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郑晓燕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，中国热带农业科学院热带生物技术研究所，参与了该成果的创新点一和创新点二的研究工作；在氨基酸等食品原料对食品加工过程中AGEs的抑制研究中做出重要贡献，</w:t>
            </w:r>
            <w:r>
              <w:rPr>
                <w:rFonts w:hint="eastAsia"/>
                <w:bCs/>
                <w:sz w:val="24"/>
                <w:szCs w:val="24"/>
              </w:rPr>
              <w:t>第一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通讯作者（含并列）发表论文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3篇，参与了多篇论文的发表。</w:t>
            </w:r>
          </w:p>
          <w:p w14:paraId="4C57531C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校导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，中国热带农业科学院热带生物技术研究所，参与了该成果的创新点一和创新点二的研究工作；香蕉花活性成分提取、糖基化终末产物抑制，及纳米颗粒与双网络水凝胶载体的构建等研究，在项目文献分析、数据分析中做出了重要贡献，参与了多篇论文的发表。</w:t>
            </w:r>
          </w:p>
        </w:tc>
      </w:tr>
      <w:tr w14:paraId="68167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269" w:type="dxa"/>
            <w:vAlign w:val="center"/>
          </w:tcPr>
          <w:p w14:paraId="16780010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主要完成单位</w:t>
            </w:r>
          </w:p>
          <w:p w14:paraId="14A71E63">
            <w:pPr>
              <w:pStyle w:val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（排序和贡献）</w:t>
            </w:r>
          </w:p>
        </w:tc>
        <w:tc>
          <w:tcPr>
            <w:tcW w:w="7051" w:type="dxa"/>
            <w:vAlign w:val="center"/>
          </w:tcPr>
          <w:p w14:paraId="6A4574C2">
            <w:pPr>
              <w:spacing w:line="440" w:lineRule="exact"/>
              <w:jc w:val="left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b/>
                <w:bCs w:val="0"/>
                <w:sz w:val="24"/>
                <w:szCs w:val="24"/>
              </w:rPr>
              <w:t>1.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中国热带农业科学院农产品加工研究所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是该成果第一完成人的依托单位，在创新点一和创新点二的研究工作中做出重要贡献，提供优质实验条件及检测平台，在天然AGEs抑制剂的筛选、化学模型、食品模型的建立、及其抑制动力学和作用机制等方面做出创造性贡献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。</w:t>
            </w:r>
          </w:p>
          <w:p w14:paraId="059D2A8B">
            <w:pPr>
              <w:spacing w:line="440" w:lineRule="exact"/>
              <w:jc w:val="left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b/>
                <w:bCs w:val="0"/>
                <w:sz w:val="24"/>
                <w:szCs w:val="24"/>
              </w:rPr>
              <w:t>2.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深圳大学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是该成果第二和第六完成人的依托单位，是代表性论文4和8的第一完成单位，在创新点一和创新点二的研究工作中做出重要贡献，在天然AGEs抑制剂的筛选、抑制机理、与食品基质互作和对食品品质的影响等方面做出创造性贡献。</w:t>
            </w:r>
          </w:p>
          <w:p w14:paraId="7975D7D5">
            <w:pPr>
              <w:spacing w:line="440" w:lineRule="exact"/>
              <w:jc w:val="left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b/>
                <w:bCs w:val="0"/>
                <w:sz w:val="24"/>
                <w:szCs w:val="24"/>
              </w:rPr>
              <w:t>3.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西北农林科技大学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是该成果第四完成人的依托单位，是代表性论文6和7的第一完成单位，在膳食AGEs在体内的消化吸收、转运分布规律、天然抑制剂干预AGEs诱导机体损伤的作用机制等方面做出创制性贡献。</w:t>
            </w:r>
          </w:p>
          <w:p w14:paraId="32CFFCBA">
            <w:pPr>
              <w:spacing w:line="440" w:lineRule="exact"/>
              <w:jc w:val="left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4.中国热带农业科学院热带生物技术研究所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，是该成果第三</w:t>
            </w:r>
            <w:bookmarkStart w:id="10" w:name="_GoBack"/>
            <w:bookmarkEnd w:id="10"/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、第五、第七和第八完成人的依托单位，是多篇其他论文和专利的第一完成单位，在创新点一和创新点二的研究工作中做出重要贡献，在天然活性多酚的稳态化、靶向递送、天然氨基酸类抑制剂的筛选及作用机理等方面做出创造性贡献。</w:t>
            </w:r>
          </w:p>
        </w:tc>
      </w:tr>
    </w:tbl>
    <w:p w14:paraId="41A88AD9">
      <w:pPr>
        <w:spacing w:line="440" w:lineRule="exact"/>
      </w:pPr>
      <w:r>
        <w:rPr>
          <w:sz w:val="24"/>
          <w:szCs w:val="24"/>
        </w:rPr>
        <w:t>说明：</w:t>
      </w:r>
      <w:r>
        <w:rPr>
          <w:rFonts w:hint="eastAsia"/>
          <w:sz w:val="24"/>
          <w:szCs w:val="24"/>
        </w:rPr>
        <w:t>涉及国外的人和组织</w:t>
      </w:r>
      <w:r>
        <w:rPr>
          <w:sz w:val="24"/>
          <w:szCs w:val="24"/>
        </w:rPr>
        <w:t>科学技术合作奖可不用公示，其余奖项必须公示</w:t>
      </w:r>
      <w:r>
        <w:rPr>
          <w:b/>
          <w:bCs/>
          <w:sz w:val="24"/>
          <w:szCs w:val="24"/>
        </w:rPr>
        <w:t>至少</w:t>
      </w:r>
      <w:r>
        <w:rPr>
          <w:rFonts w:hint="eastAsia"/>
          <w:b/>
          <w:bCs/>
          <w:sz w:val="24"/>
          <w:szCs w:val="24"/>
          <w:lang w:val="en-US" w:eastAsia="zh-CN"/>
        </w:rPr>
        <w:t>7</w:t>
      </w:r>
      <w:r>
        <w:rPr>
          <w:b/>
          <w:bCs/>
          <w:sz w:val="24"/>
          <w:szCs w:val="24"/>
          <w:u w:val="wavyHeavy"/>
        </w:rPr>
        <w:t>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3C22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4090" cy="234950"/>
              <wp:effectExtent l="0" t="0" r="0" b="0"/>
              <wp:wrapNone/>
              <wp:docPr id="1" name="文本框 1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09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7CF84">
                          <w:pPr>
                            <w:snapToGrid w:val="0"/>
                            <w:rPr>
                              <w:rFonts w:hint="eastAsia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>102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52" o:spid="_x0000_s1026" o:spt="202" type="#_x0000_t202" style="position:absolute;left:0pt;margin-top:0pt;height:18.5pt;width:76.7pt;mso-position-horizontal:outside;mso-position-horizontal-relative:margin;z-index:251659264;mso-width-relative:page;mso-height-relative:page;" filled="f" stroked="f" coordsize="21600,21600" o:gfxdata="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L72pvUAAAABAEAAA8AAAAAAAAAAQAgAAAAIgAAAGRycy9kb3ducmV2&#10;LnhtbFBLAQIUABQAAAAIAIdO4kAin7nrxwEAAII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27CF84">
                    <w:pPr>
                      <w:snapToGrid w:val="0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hint="eastAsia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Cs w:val="28"/>
                      </w:rPr>
                      <w:t>102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36F22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86EC"/>
    <w:multiLevelType w:val="singleLevel"/>
    <w:tmpl w:val="064F8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70F322"/>
    <w:multiLevelType w:val="singleLevel"/>
    <w:tmpl w:val="6A70F3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CD"/>
    <w:rsid w:val="000006AE"/>
    <w:rsid w:val="00011655"/>
    <w:rsid w:val="000173CB"/>
    <w:rsid w:val="00021223"/>
    <w:rsid w:val="000304AB"/>
    <w:rsid w:val="00041662"/>
    <w:rsid w:val="000439A7"/>
    <w:rsid w:val="00054568"/>
    <w:rsid w:val="000659DA"/>
    <w:rsid w:val="00077B06"/>
    <w:rsid w:val="00082CB0"/>
    <w:rsid w:val="00094CA5"/>
    <w:rsid w:val="0009774A"/>
    <w:rsid w:val="000A64AE"/>
    <w:rsid w:val="000A6C25"/>
    <w:rsid w:val="000A7E29"/>
    <w:rsid w:val="000D29ED"/>
    <w:rsid w:val="000E704C"/>
    <w:rsid w:val="000E7369"/>
    <w:rsid w:val="000F1471"/>
    <w:rsid w:val="000F551C"/>
    <w:rsid w:val="000F75DE"/>
    <w:rsid w:val="000F7EB3"/>
    <w:rsid w:val="00101E7E"/>
    <w:rsid w:val="00106CAF"/>
    <w:rsid w:val="001103E9"/>
    <w:rsid w:val="00113C26"/>
    <w:rsid w:val="001306A8"/>
    <w:rsid w:val="001338E4"/>
    <w:rsid w:val="001568AB"/>
    <w:rsid w:val="00162A6B"/>
    <w:rsid w:val="0016527B"/>
    <w:rsid w:val="00177054"/>
    <w:rsid w:val="00180270"/>
    <w:rsid w:val="00180940"/>
    <w:rsid w:val="00186377"/>
    <w:rsid w:val="00196547"/>
    <w:rsid w:val="00197E25"/>
    <w:rsid w:val="001A18D7"/>
    <w:rsid w:val="001A584C"/>
    <w:rsid w:val="001B3227"/>
    <w:rsid w:val="001C2DC5"/>
    <w:rsid w:val="001C65EE"/>
    <w:rsid w:val="001D4BCA"/>
    <w:rsid w:val="001D6B7E"/>
    <w:rsid w:val="001E6121"/>
    <w:rsid w:val="001E6E1B"/>
    <w:rsid w:val="001F3DA2"/>
    <w:rsid w:val="00201EA1"/>
    <w:rsid w:val="00205070"/>
    <w:rsid w:val="002250C3"/>
    <w:rsid w:val="00230421"/>
    <w:rsid w:val="002333FA"/>
    <w:rsid w:val="002336DD"/>
    <w:rsid w:val="00233CF8"/>
    <w:rsid w:val="002626BC"/>
    <w:rsid w:val="00276DD5"/>
    <w:rsid w:val="00282696"/>
    <w:rsid w:val="0028294C"/>
    <w:rsid w:val="00284755"/>
    <w:rsid w:val="002A0822"/>
    <w:rsid w:val="002A37C2"/>
    <w:rsid w:val="002A524F"/>
    <w:rsid w:val="002B17A1"/>
    <w:rsid w:val="002B4188"/>
    <w:rsid w:val="002C5C2A"/>
    <w:rsid w:val="002E3115"/>
    <w:rsid w:val="002E3699"/>
    <w:rsid w:val="003057C9"/>
    <w:rsid w:val="00307B34"/>
    <w:rsid w:val="00314784"/>
    <w:rsid w:val="0031646E"/>
    <w:rsid w:val="00321E1E"/>
    <w:rsid w:val="00323B44"/>
    <w:rsid w:val="00342566"/>
    <w:rsid w:val="00346FCF"/>
    <w:rsid w:val="0035440D"/>
    <w:rsid w:val="00363AC6"/>
    <w:rsid w:val="00363B9B"/>
    <w:rsid w:val="00367618"/>
    <w:rsid w:val="003744B0"/>
    <w:rsid w:val="00375692"/>
    <w:rsid w:val="003778A2"/>
    <w:rsid w:val="00386565"/>
    <w:rsid w:val="00395255"/>
    <w:rsid w:val="00396DCD"/>
    <w:rsid w:val="003B732D"/>
    <w:rsid w:val="003D4752"/>
    <w:rsid w:val="003D4A0F"/>
    <w:rsid w:val="003E1767"/>
    <w:rsid w:val="003F7E92"/>
    <w:rsid w:val="0040148D"/>
    <w:rsid w:val="0040253F"/>
    <w:rsid w:val="004068FE"/>
    <w:rsid w:val="004129EA"/>
    <w:rsid w:val="00416434"/>
    <w:rsid w:val="0042367F"/>
    <w:rsid w:val="0042656E"/>
    <w:rsid w:val="004342A5"/>
    <w:rsid w:val="004342C7"/>
    <w:rsid w:val="00435C94"/>
    <w:rsid w:val="004372C5"/>
    <w:rsid w:val="004510FD"/>
    <w:rsid w:val="004A5586"/>
    <w:rsid w:val="004B2FE6"/>
    <w:rsid w:val="004C31C6"/>
    <w:rsid w:val="004D3139"/>
    <w:rsid w:val="004D462E"/>
    <w:rsid w:val="004D5FA4"/>
    <w:rsid w:val="004D62DA"/>
    <w:rsid w:val="004F1E23"/>
    <w:rsid w:val="004F3ECA"/>
    <w:rsid w:val="005039EB"/>
    <w:rsid w:val="0053349E"/>
    <w:rsid w:val="005415F4"/>
    <w:rsid w:val="005515D3"/>
    <w:rsid w:val="0055240D"/>
    <w:rsid w:val="005652E3"/>
    <w:rsid w:val="0056563E"/>
    <w:rsid w:val="00565FCF"/>
    <w:rsid w:val="00566426"/>
    <w:rsid w:val="005836AC"/>
    <w:rsid w:val="005C03E5"/>
    <w:rsid w:val="005D549A"/>
    <w:rsid w:val="00603D7D"/>
    <w:rsid w:val="00604F60"/>
    <w:rsid w:val="00635D44"/>
    <w:rsid w:val="006445D8"/>
    <w:rsid w:val="006463DC"/>
    <w:rsid w:val="00646B87"/>
    <w:rsid w:val="00647291"/>
    <w:rsid w:val="00650EC3"/>
    <w:rsid w:val="00655035"/>
    <w:rsid w:val="006551F7"/>
    <w:rsid w:val="00662583"/>
    <w:rsid w:val="00663FD1"/>
    <w:rsid w:val="00673C70"/>
    <w:rsid w:val="00674534"/>
    <w:rsid w:val="00682260"/>
    <w:rsid w:val="00694FAD"/>
    <w:rsid w:val="006A19D3"/>
    <w:rsid w:val="006A5C61"/>
    <w:rsid w:val="006B0049"/>
    <w:rsid w:val="006C5301"/>
    <w:rsid w:val="006D3310"/>
    <w:rsid w:val="006E00C0"/>
    <w:rsid w:val="006E6228"/>
    <w:rsid w:val="006F1218"/>
    <w:rsid w:val="006F1F11"/>
    <w:rsid w:val="006F2498"/>
    <w:rsid w:val="006F481F"/>
    <w:rsid w:val="0070132F"/>
    <w:rsid w:val="007073C1"/>
    <w:rsid w:val="00713EEA"/>
    <w:rsid w:val="007203B4"/>
    <w:rsid w:val="00722175"/>
    <w:rsid w:val="0074485B"/>
    <w:rsid w:val="00764EFD"/>
    <w:rsid w:val="00775EEC"/>
    <w:rsid w:val="00786354"/>
    <w:rsid w:val="00795967"/>
    <w:rsid w:val="007A3C32"/>
    <w:rsid w:val="007A7DB9"/>
    <w:rsid w:val="007B6326"/>
    <w:rsid w:val="007B6CAD"/>
    <w:rsid w:val="007B6D1C"/>
    <w:rsid w:val="007B7169"/>
    <w:rsid w:val="007C3424"/>
    <w:rsid w:val="007C3E8C"/>
    <w:rsid w:val="007D1D15"/>
    <w:rsid w:val="007E0D01"/>
    <w:rsid w:val="007E1576"/>
    <w:rsid w:val="007E4EB1"/>
    <w:rsid w:val="0080164B"/>
    <w:rsid w:val="008058CF"/>
    <w:rsid w:val="00810469"/>
    <w:rsid w:val="008139A1"/>
    <w:rsid w:val="00821BB7"/>
    <w:rsid w:val="00821DE5"/>
    <w:rsid w:val="00843A35"/>
    <w:rsid w:val="00847A9C"/>
    <w:rsid w:val="00856E07"/>
    <w:rsid w:val="00865352"/>
    <w:rsid w:val="00866E72"/>
    <w:rsid w:val="00871D80"/>
    <w:rsid w:val="00873872"/>
    <w:rsid w:val="008816E1"/>
    <w:rsid w:val="00883A35"/>
    <w:rsid w:val="00891EDA"/>
    <w:rsid w:val="008A3BBD"/>
    <w:rsid w:val="008B0061"/>
    <w:rsid w:val="008B73F7"/>
    <w:rsid w:val="008E5C8C"/>
    <w:rsid w:val="008F16AE"/>
    <w:rsid w:val="00901C16"/>
    <w:rsid w:val="00905723"/>
    <w:rsid w:val="00906E85"/>
    <w:rsid w:val="009119FE"/>
    <w:rsid w:val="00931312"/>
    <w:rsid w:val="009341E6"/>
    <w:rsid w:val="00937CA5"/>
    <w:rsid w:val="00945D94"/>
    <w:rsid w:val="0095266B"/>
    <w:rsid w:val="0096095B"/>
    <w:rsid w:val="00961541"/>
    <w:rsid w:val="0096389E"/>
    <w:rsid w:val="0098077C"/>
    <w:rsid w:val="0098233F"/>
    <w:rsid w:val="009930D6"/>
    <w:rsid w:val="009961A6"/>
    <w:rsid w:val="009964D8"/>
    <w:rsid w:val="00996752"/>
    <w:rsid w:val="00997B55"/>
    <w:rsid w:val="009B09A3"/>
    <w:rsid w:val="009B4CC6"/>
    <w:rsid w:val="009C20F8"/>
    <w:rsid w:val="009C405D"/>
    <w:rsid w:val="009C4A60"/>
    <w:rsid w:val="009D45E3"/>
    <w:rsid w:val="009D5D61"/>
    <w:rsid w:val="009D63FF"/>
    <w:rsid w:val="00A1786A"/>
    <w:rsid w:val="00A20F87"/>
    <w:rsid w:val="00A3125A"/>
    <w:rsid w:val="00A4329B"/>
    <w:rsid w:val="00A44921"/>
    <w:rsid w:val="00A841D7"/>
    <w:rsid w:val="00A92E12"/>
    <w:rsid w:val="00AA0C2A"/>
    <w:rsid w:val="00AA7EB3"/>
    <w:rsid w:val="00AB1AFC"/>
    <w:rsid w:val="00AF317E"/>
    <w:rsid w:val="00AF5DE6"/>
    <w:rsid w:val="00AF6291"/>
    <w:rsid w:val="00B33BBC"/>
    <w:rsid w:val="00B3444C"/>
    <w:rsid w:val="00B36070"/>
    <w:rsid w:val="00B422D6"/>
    <w:rsid w:val="00B61893"/>
    <w:rsid w:val="00B644D9"/>
    <w:rsid w:val="00B67645"/>
    <w:rsid w:val="00B8769F"/>
    <w:rsid w:val="00B92CD9"/>
    <w:rsid w:val="00BC07FB"/>
    <w:rsid w:val="00BC09AC"/>
    <w:rsid w:val="00BC3675"/>
    <w:rsid w:val="00BC6C2F"/>
    <w:rsid w:val="00BD2BCC"/>
    <w:rsid w:val="00BD7228"/>
    <w:rsid w:val="00BF2BF6"/>
    <w:rsid w:val="00C035A2"/>
    <w:rsid w:val="00C11489"/>
    <w:rsid w:val="00C13023"/>
    <w:rsid w:val="00C1605F"/>
    <w:rsid w:val="00C17ACC"/>
    <w:rsid w:val="00C27F05"/>
    <w:rsid w:val="00C36303"/>
    <w:rsid w:val="00C364A3"/>
    <w:rsid w:val="00C44BE7"/>
    <w:rsid w:val="00C76057"/>
    <w:rsid w:val="00C84394"/>
    <w:rsid w:val="00C97887"/>
    <w:rsid w:val="00CA33CB"/>
    <w:rsid w:val="00CA5FE2"/>
    <w:rsid w:val="00CA7B2C"/>
    <w:rsid w:val="00CB31E7"/>
    <w:rsid w:val="00CD209F"/>
    <w:rsid w:val="00CD518F"/>
    <w:rsid w:val="00CD5D5D"/>
    <w:rsid w:val="00CE460D"/>
    <w:rsid w:val="00D01A9E"/>
    <w:rsid w:val="00D07FD9"/>
    <w:rsid w:val="00D14FB7"/>
    <w:rsid w:val="00D34722"/>
    <w:rsid w:val="00D37EF7"/>
    <w:rsid w:val="00D44011"/>
    <w:rsid w:val="00D455FF"/>
    <w:rsid w:val="00D8446D"/>
    <w:rsid w:val="00D845D7"/>
    <w:rsid w:val="00D92410"/>
    <w:rsid w:val="00D967BC"/>
    <w:rsid w:val="00DA2ED0"/>
    <w:rsid w:val="00DA448C"/>
    <w:rsid w:val="00DA6CEF"/>
    <w:rsid w:val="00DA77CD"/>
    <w:rsid w:val="00DB39ED"/>
    <w:rsid w:val="00DC7624"/>
    <w:rsid w:val="00DE0BD7"/>
    <w:rsid w:val="00DE0E30"/>
    <w:rsid w:val="00DE5023"/>
    <w:rsid w:val="00DE70BC"/>
    <w:rsid w:val="00DF09BA"/>
    <w:rsid w:val="00E0421C"/>
    <w:rsid w:val="00E11CCB"/>
    <w:rsid w:val="00E30628"/>
    <w:rsid w:val="00E36CD6"/>
    <w:rsid w:val="00E412CE"/>
    <w:rsid w:val="00E4574F"/>
    <w:rsid w:val="00E46300"/>
    <w:rsid w:val="00E50DA5"/>
    <w:rsid w:val="00E53098"/>
    <w:rsid w:val="00E60CC1"/>
    <w:rsid w:val="00E66718"/>
    <w:rsid w:val="00E714DD"/>
    <w:rsid w:val="00E72C7A"/>
    <w:rsid w:val="00E8091E"/>
    <w:rsid w:val="00E831A6"/>
    <w:rsid w:val="00EA1101"/>
    <w:rsid w:val="00EA138A"/>
    <w:rsid w:val="00EA4103"/>
    <w:rsid w:val="00EA6688"/>
    <w:rsid w:val="00EB7D54"/>
    <w:rsid w:val="00EC581C"/>
    <w:rsid w:val="00EE2424"/>
    <w:rsid w:val="00EE5239"/>
    <w:rsid w:val="00EE7C5A"/>
    <w:rsid w:val="00EF4B09"/>
    <w:rsid w:val="00F027A1"/>
    <w:rsid w:val="00F02A8D"/>
    <w:rsid w:val="00F1533F"/>
    <w:rsid w:val="00F5135C"/>
    <w:rsid w:val="00F610E4"/>
    <w:rsid w:val="00F805FE"/>
    <w:rsid w:val="00F8373D"/>
    <w:rsid w:val="00FA213E"/>
    <w:rsid w:val="00FA7F29"/>
    <w:rsid w:val="00FB1B89"/>
    <w:rsid w:val="00FB39C2"/>
    <w:rsid w:val="00FB6ED5"/>
    <w:rsid w:val="00FB76EB"/>
    <w:rsid w:val="00FD0BCE"/>
    <w:rsid w:val="00FD5BAE"/>
    <w:rsid w:val="00FD79D0"/>
    <w:rsid w:val="00FD7EA1"/>
    <w:rsid w:val="00FE19B7"/>
    <w:rsid w:val="06D90FE1"/>
    <w:rsid w:val="284F1E36"/>
    <w:rsid w:val="2918051E"/>
    <w:rsid w:val="359E13AE"/>
    <w:rsid w:val="418833CC"/>
    <w:rsid w:val="43971880"/>
    <w:rsid w:val="672F0459"/>
    <w:rsid w:val="67402ED7"/>
    <w:rsid w:val="6C1F6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title1"/>
    <w:qFormat/>
    <w:uiPriority w:val="0"/>
    <w:rPr>
      <w:b/>
      <w:bCs/>
      <w:color w:val="999900"/>
      <w:sz w:val="24"/>
      <w:szCs w:val="24"/>
    </w:rPr>
  </w:style>
  <w:style w:type="paragraph" w:customStyle="1" w:styleId="4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/>
    </w:rPr>
  </w:style>
  <w:style w:type="character" w:customStyle="1" w:styleId="41">
    <w:name w:val="正文文本 字符"/>
    <w:basedOn w:val="18"/>
    <w:link w:val="11"/>
    <w:semiHidden/>
    <w:qFormat/>
    <w:uiPriority w:val="99"/>
    <w:rPr>
      <w:rFonts w:ascii="Times New Roman" w:hAnsi="Times New Roman" w:eastAsia="宋体" w:cs="Times New Roman"/>
      <w:sz w:val="28"/>
      <w:szCs w:val="20"/>
      <w14:ligatures w14:val="none"/>
    </w:rPr>
  </w:style>
  <w:style w:type="paragraph" w:customStyle="1" w:styleId="42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2853</Words>
  <Characters>4501</Characters>
  <Lines>241</Lines>
  <Paragraphs>48</Paragraphs>
  <TotalTime>8</TotalTime>
  <ScaleCrop>false</ScaleCrop>
  <LinksUpToDate>false</LinksUpToDate>
  <CharactersWithSpaces>4844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2026-01-23T03:22:00Z</dcterms:created>
  <dc:creator>Yang</dc:creator>
  <cp:lastModifiedBy>天堂鸟</cp:lastModifiedBy>
  <dcterms:modified xsi:type="dcterms:W3CDTF">2026-03-02T03:15:37Z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EEC606EB57C54FDE97617CEDF9DFA79C_13</vt:lpwstr>
  </property>
  <property fmtid="{D5CDD505-2E9C-101B-9397-08002B2CF9AE}" pid="4" name="KSOTemplateDocerSaveRecord">
    <vt:lpwstr>eyJoZGlkIjoiNmM5YmMzMjExMGU0Y2JmNzQ3YzUzNTQ2MmEyZWY1ZWEiLCJ1c2VySWQiOiIzMzg2NTM4OTEifQ==</vt:lpwstr>
  </property>
</Properties>
</file>