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宋体" w:hAnsi="宋体"/>
          <w:color w:val="000000"/>
          <w:sz w:val="36"/>
          <w:szCs w:val="36"/>
        </w:rPr>
      </w:pPr>
      <w:bookmarkStart w:id="0" w:name="_Toc530473016"/>
    </w:p>
    <w:bookmarkEnd w:id="0"/>
    <w:p>
      <w:pPr>
        <w:spacing w:line="740" w:lineRule="exact"/>
        <w:jc w:val="center"/>
        <w:outlineLvl w:val="2"/>
        <w:rPr>
          <w:rFonts w:ascii="黑体" w:hAnsi="黑体" w:eastAsia="黑体" w:cs="黑体"/>
          <w:color w:val="000000"/>
          <w:sz w:val="32"/>
          <w:szCs w:val="32"/>
        </w:rPr>
      </w:pPr>
      <w:bookmarkStart w:id="1" w:name="_Toc1550903188"/>
      <w:bookmarkStart w:id="2" w:name="_Toc1827832502"/>
      <w:bookmarkStart w:id="3" w:name="_Toc2124023149"/>
      <w:bookmarkStart w:id="4" w:name="_Toc175603519"/>
      <w:bookmarkStart w:id="5" w:name="_Toc2131911538"/>
      <w:bookmarkStart w:id="6" w:name="_Toc357348418"/>
      <w:bookmarkStart w:id="7" w:name="_Toc1423068732"/>
      <w:bookmarkStart w:id="8" w:name="_Toc1099067205"/>
      <w:r>
        <w:rPr>
          <w:rFonts w:hint="eastAsia" w:ascii="黑体" w:hAnsi="黑体" w:eastAsia="黑体" w:cs="黑体"/>
          <w:color w:val="000000"/>
          <w:sz w:val="32"/>
          <w:szCs w:val="32"/>
        </w:rPr>
        <w:t>2024年度吉林省科学技术奖提名公示内容</w:t>
      </w:r>
      <w:bookmarkEnd w:id="1"/>
      <w:bookmarkEnd w:id="2"/>
      <w:bookmarkEnd w:id="3"/>
      <w:bookmarkEnd w:id="4"/>
      <w:bookmarkEnd w:id="5"/>
      <w:bookmarkEnd w:id="6"/>
      <w:bookmarkEnd w:id="7"/>
      <w:bookmarkEnd w:id="8"/>
    </w:p>
    <w:p>
      <w:pPr>
        <w:spacing w:line="100" w:lineRule="exact"/>
        <w:jc w:val="center"/>
        <w:rPr>
          <w:rFonts w:ascii="仿宋_GB2312" w:hAnsi="仿宋_GB2312" w:eastAsia="仿宋_GB2312" w:cs="仿宋_GB2312"/>
          <w:color w:val="000000"/>
          <w:sz w:val="32"/>
          <w:szCs w:val="32"/>
        </w:rPr>
      </w:pPr>
    </w:p>
    <w:p>
      <w:pPr>
        <w:spacing w:line="440" w:lineRule="exact"/>
        <w:jc w:val="center"/>
        <w:rPr>
          <w:rFonts w:eastAsia="仿宋_GB2312"/>
          <w:szCs w:val="24"/>
        </w:rPr>
      </w:pPr>
      <w:r>
        <w:rPr>
          <w:rFonts w:hint="eastAsia" w:eastAsia="仿宋_GB2312"/>
          <w:szCs w:val="24"/>
        </w:rPr>
        <w:t>（适用于项目主要完成单位、主要完成人所在单位）</w:t>
      </w:r>
    </w:p>
    <w:p>
      <w:pPr>
        <w:spacing w:line="440" w:lineRule="exact"/>
        <w:rPr>
          <w:rFonts w:eastAsia="仿宋_GB2312"/>
          <w:szCs w:val="24"/>
        </w:rPr>
      </w:pPr>
    </w:p>
    <w:p>
      <w:pPr>
        <w:spacing w:line="440" w:lineRule="exact"/>
        <w:jc w:val="left"/>
        <w:rPr>
          <w:rFonts w:eastAsia="仿宋_GB2312"/>
          <w:szCs w:val="24"/>
        </w:rPr>
      </w:pPr>
      <w:r>
        <w:rPr>
          <w:rFonts w:hint="eastAsia" w:eastAsia="仿宋_GB2312"/>
          <w:szCs w:val="24"/>
        </w:rPr>
        <w:t>公示单位（公章）：西北农林科技大学</w:t>
      </w:r>
    </w:p>
    <w:p>
      <w:pPr>
        <w:spacing w:line="440" w:lineRule="exact"/>
        <w:jc w:val="left"/>
        <w:rPr>
          <w:rFonts w:eastAsia="仿宋_GB2312"/>
          <w:szCs w:val="24"/>
        </w:rPr>
      </w:pPr>
      <w:r>
        <w:rPr>
          <w:rFonts w:hint="eastAsia" w:eastAsia="仿宋_GB2312"/>
          <w:szCs w:val="24"/>
        </w:rPr>
        <w:t>填表日期：2024年4月16 日</w:t>
      </w:r>
    </w:p>
    <w:tbl>
      <w:tblPr>
        <w:tblStyle w:val="4"/>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69" w:type="dxa"/>
            <w:vAlign w:val="center"/>
          </w:tcPr>
          <w:p>
            <w:pPr>
              <w:jc w:val="center"/>
              <w:rPr>
                <w:rStyle w:val="7"/>
                <w:rFonts w:eastAsia="仿宋_GB2312"/>
                <w:color w:val="auto"/>
              </w:rPr>
            </w:pPr>
            <w:r>
              <w:rPr>
                <w:rStyle w:val="7"/>
                <w:rFonts w:hint="eastAsia" w:eastAsia="仿宋_GB2312"/>
                <w:color w:val="auto"/>
              </w:rPr>
              <w:t>项目</w:t>
            </w:r>
            <w:r>
              <w:rPr>
                <w:rStyle w:val="7"/>
                <w:rFonts w:eastAsia="仿宋_GB2312"/>
                <w:color w:val="auto"/>
              </w:rPr>
              <w:t>名称</w:t>
            </w:r>
          </w:p>
        </w:tc>
        <w:tc>
          <w:tcPr>
            <w:tcW w:w="7051" w:type="dxa"/>
            <w:vAlign w:val="center"/>
          </w:tcPr>
          <w:p>
            <w:pPr>
              <w:jc w:val="center"/>
              <w:rPr>
                <w:rStyle w:val="7"/>
                <w:rFonts w:eastAsia="仿宋_GB2312"/>
                <w:b w:val="0"/>
                <w:color w:val="auto"/>
                <w:sz w:val="28"/>
              </w:rPr>
            </w:pPr>
            <w:r>
              <w:rPr>
                <w:rFonts w:hint="eastAsia" w:eastAsia="仿宋"/>
                <w:bCs/>
                <w:color w:val="000000"/>
                <w:kern w:val="0"/>
                <w:szCs w:val="28"/>
                <w:lang w:bidi="ar"/>
              </w:rPr>
              <w:t>食源性活性肽创新制造与活性保护关键技术及应用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269" w:type="dxa"/>
            <w:vAlign w:val="center"/>
          </w:tcPr>
          <w:p>
            <w:pPr>
              <w:jc w:val="center"/>
              <w:rPr>
                <w:rStyle w:val="7"/>
                <w:rFonts w:eastAsia="仿宋_GB2312"/>
                <w:color w:val="auto"/>
              </w:rPr>
            </w:pPr>
            <w:r>
              <w:rPr>
                <w:rStyle w:val="7"/>
                <w:rFonts w:eastAsia="仿宋_GB2312"/>
                <w:color w:val="auto"/>
              </w:rPr>
              <w:t>提名</w:t>
            </w:r>
            <w:r>
              <w:rPr>
                <w:rStyle w:val="7"/>
                <w:rFonts w:hint="eastAsia" w:eastAsia="仿宋_GB2312"/>
                <w:color w:val="auto"/>
              </w:rPr>
              <w:t>奖项/</w:t>
            </w:r>
            <w:r>
              <w:rPr>
                <w:rStyle w:val="7"/>
                <w:rFonts w:eastAsia="仿宋_GB2312"/>
                <w:color w:val="auto"/>
              </w:rPr>
              <w:t>等级</w:t>
            </w:r>
          </w:p>
        </w:tc>
        <w:tc>
          <w:tcPr>
            <w:tcW w:w="7051" w:type="dxa"/>
            <w:vAlign w:val="center"/>
          </w:tcPr>
          <w:p>
            <w:pPr>
              <w:jc w:val="center"/>
              <w:rPr>
                <w:rStyle w:val="7"/>
                <w:rFonts w:eastAsia="仿宋_GB2312"/>
                <w:b w:val="0"/>
                <w:color w:val="auto"/>
                <w:sz w:val="28"/>
              </w:rPr>
            </w:pPr>
            <w:r>
              <w:rPr>
                <w:rFonts w:hint="eastAsia" w:eastAsia="仿宋"/>
                <w:bCs/>
                <w:color w:val="000000"/>
                <w:kern w:val="0"/>
                <w:szCs w:val="28"/>
                <w:lang w:bidi="ar"/>
              </w:rPr>
              <w:t>科学技术进步奖 二等奖</w:t>
            </w:r>
            <w:bookmarkStart w:id="9" w:name="_GoBack"/>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2269" w:type="dxa"/>
            <w:vAlign w:val="center"/>
          </w:tcPr>
          <w:p>
            <w:pPr>
              <w:jc w:val="center"/>
              <w:rPr>
                <w:rFonts w:eastAsia="仿宋_GB2312"/>
                <w:b/>
                <w:bCs/>
                <w:sz w:val="24"/>
                <w:szCs w:val="24"/>
                <w:lang w:val="en"/>
              </w:rPr>
            </w:pPr>
            <w:r>
              <w:rPr>
                <w:rStyle w:val="7"/>
                <w:rFonts w:eastAsia="仿宋_GB2312"/>
                <w:color w:val="auto"/>
              </w:rPr>
              <w:t>提名单位</w:t>
            </w:r>
            <w:r>
              <w:rPr>
                <w:rStyle w:val="7"/>
                <w:rFonts w:eastAsia="仿宋_GB2312"/>
                <w:color w:val="auto"/>
                <w:lang w:val="en"/>
              </w:rPr>
              <w:t>/</w:t>
            </w:r>
            <w:r>
              <w:rPr>
                <w:rStyle w:val="7"/>
                <w:rFonts w:eastAsia="仿宋_GB2312"/>
                <w:color w:val="auto"/>
              </w:rPr>
              <w:t>提名专家</w:t>
            </w:r>
          </w:p>
        </w:tc>
        <w:tc>
          <w:tcPr>
            <w:tcW w:w="7051" w:type="dxa"/>
            <w:vAlign w:val="center"/>
          </w:tcPr>
          <w:p>
            <w:pPr>
              <w:contextualSpacing/>
              <w:jc w:val="center"/>
              <w:rPr>
                <w:bCs/>
                <w:sz w:val="24"/>
                <w:szCs w:val="24"/>
              </w:rPr>
            </w:pPr>
            <w:r>
              <w:rPr>
                <w:rFonts w:hint="eastAsia" w:eastAsia="仿宋"/>
                <w:bCs/>
                <w:color w:val="000000"/>
                <w:kern w:val="0"/>
                <w:szCs w:val="28"/>
                <w:lang w:bidi="ar"/>
              </w:rPr>
              <w:t>吉林大学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269" w:type="dxa"/>
            <w:vAlign w:val="center"/>
          </w:tcPr>
          <w:p>
            <w:pPr>
              <w:jc w:val="center"/>
              <w:rPr>
                <w:rFonts w:eastAsia="仿宋_GB2312"/>
                <w:b/>
                <w:bCs/>
                <w:sz w:val="24"/>
                <w:szCs w:val="24"/>
              </w:rPr>
            </w:pPr>
            <w:r>
              <w:rPr>
                <w:rStyle w:val="7"/>
                <w:rFonts w:eastAsia="仿宋_GB2312"/>
                <w:color w:val="auto"/>
              </w:rPr>
              <w:t>提名意见</w:t>
            </w:r>
          </w:p>
        </w:tc>
        <w:tc>
          <w:tcPr>
            <w:tcW w:w="7051" w:type="dxa"/>
            <w:vAlign w:val="center"/>
          </w:tcPr>
          <w:p>
            <w:pPr>
              <w:spacing w:line="312" w:lineRule="auto"/>
              <w:ind w:firstLine="480" w:firstLineChars="200"/>
              <w:contextualSpacing/>
              <w:jc w:val="left"/>
              <w:rPr>
                <w:rFonts w:eastAsia="仿宋"/>
                <w:bCs/>
                <w:color w:val="000000"/>
                <w:kern w:val="0"/>
                <w:sz w:val="24"/>
                <w:szCs w:val="24"/>
                <w:lang w:bidi="ar"/>
              </w:rPr>
            </w:pPr>
            <w:r>
              <w:rPr>
                <w:rFonts w:hint="eastAsia" w:eastAsia="仿宋"/>
                <w:bCs/>
                <w:color w:val="000000"/>
                <w:kern w:val="0"/>
                <w:sz w:val="24"/>
                <w:szCs w:val="24"/>
                <w:lang w:bidi="ar"/>
              </w:rPr>
              <w:t>我单位认真审阅了该成果推荐书及附件材料，确认全部材料真实有效，相关成果均符合填写要求。</w:t>
            </w:r>
          </w:p>
          <w:p>
            <w:pPr>
              <w:spacing w:line="312" w:lineRule="auto"/>
              <w:ind w:firstLine="480" w:firstLineChars="200"/>
              <w:contextualSpacing/>
              <w:rPr>
                <w:rFonts w:eastAsia="仿宋"/>
                <w:bCs/>
                <w:color w:val="000000"/>
                <w:kern w:val="0"/>
                <w:sz w:val="24"/>
                <w:szCs w:val="24"/>
                <w:lang w:bidi="ar"/>
              </w:rPr>
            </w:pPr>
            <w:r>
              <w:rPr>
                <w:rFonts w:hint="eastAsia" w:eastAsia="仿宋"/>
                <w:bCs/>
                <w:color w:val="000000"/>
                <w:kern w:val="0"/>
                <w:sz w:val="24"/>
                <w:szCs w:val="24"/>
                <w:lang w:bidi="ar"/>
              </w:rPr>
              <w:t>该项目以吉林省食源性蛋白质资源生产活性肽过程中存在的关键技术问题和应用推广困境为导向，聚焦食源性活性肽创新制造面临的靶蛋白结合位点不准确、作用机制不明确、增强肠道吸收及克服肠道降解的递送策略不完善等瓶颈问题，进行了系统和深入的研究。以禽蛋、大豆和玉米为食源性活性肽的优质来源，系统深入解析了食源性活性肽的功效评价机制，构建了食源性活性肽创新制造与活性保护关键技术，有效提高了食源性活性肽的生产效率、加工/贮藏/胃肠道环境下的稳定性及体内生物有效性，为相关产品开发、解决当前企业面临的困境问题提供了有效的解决方案。</w:t>
            </w:r>
          </w:p>
          <w:p>
            <w:pPr>
              <w:spacing w:line="312" w:lineRule="auto"/>
              <w:ind w:firstLine="480" w:firstLineChars="200"/>
              <w:contextualSpacing/>
              <w:rPr>
                <w:bCs/>
                <w:sz w:val="24"/>
                <w:szCs w:val="24"/>
              </w:rPr>
            </w:pPr>
            <w:r>
              <w:rPr>
                <w:rFonts w:hint="eastAsia" w:eastAsia="仿宋_GB2312"/>
                <w:bCs/>
                <w:sz w:val="24"/>
                <w:szCs w:val="24"/>
              </w:rPr>
              <w:t>提名该项目为吉林省科学技术进步奖 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hint="eastAsia" w:eastAsia="仿宋_GB2312"/>
                <w:b/>
                <w:bCs/>
                <w:sz w:val="24"/>
                <w:szCs w:val="24"/>
              </w:rPr>
              <w:t>项目简介</w:t>
            </w:r>
          </w:p>
        </w:tc>
        <w:tc>
          <w:tcPr>
            <w:tcW w:w="7051" w:type="dxa"/>
            <w:tcBorders>
              <w:left w:val="single" w:color="auto" w:sz="4" w:space="0"/>
            </w:tcBorders>
            <w:vAlign w:val="center"/>
          </w:tcPr>
          <w:p>
            <w:pPr>
              <w:spacing w:line="312" w:lineRule="auto"/>
              <w:ind w:firstLine="480" w:firstLineChars="200"/>
              <w:contextualSpacing/>
              <w:rPr>
                <w:rFonts w:eastAsia="仿宋"/>
                <w:bCs/>
                <w:color w:val="000000"/>
                <w:kern w:val="0"/>
                <w:sz w:val="24"/>
                <w:szCs w:val="24"/>
                <w:lang w:bidi="ar"/>
              </w:rPr>
            </w:pPr>
            <w:r>
              <w:rPr>
                <w:rFonts w:hint="eastAsia" w:eastAsia="仿宋"/>
                <w:bCs/>
                <w:color w:val="000000"/>
                <w:kern w:val="0"/>
                <w:sz w:val="24"/>
                <w:szCs w:val="24"/>
                <w:lang w:bidi="ar"/>
              </w:rPr>
              <w:t>本项目隶属食品技术领域。食源性蛋白质关乎人民生命健康，是国民健康生活的重要营养物质保障。系统开展食源性活性肽功效评价与吸收机制解析、关键技术突破、技术集成及产业化应用相关基础与应用基础研究，是响应习近平总书记提出的“大食物观”的重要举措，也是创新驱动食品及大健康产业高质量发展的重要途径。</w:t>
            </w:r>
          </w:p>
          <w:p>
            <w:pPr>
              <w:spacing w:line="312" w:lineRule="auto"/>
              <w:ind w:firstLine="480" w:firstLineChars="200"/>
              <w:contextualSpacing/>
              <w:rPr>
                <w:rFonts w:eastAsia="仿宋"/>
                <w:bCs/>
                <w:color w:val="000000"/>
                <w:kern w:val="0"/>
                <w:sz w:val="24"/>
                <w:szCs w:val="24"/>
                <w:lang w:bidi="ar"/>
              </w:rPr>
            </w:pPr>
            <w:r>
              <w:rPr>
                <w:rFonts w:hint="eastAsia" w:eastAsia="仿宋"/>
                <w:bCs/>
                <w:color w:val="000000"/>
                <w:kern w:val="0"/>
                <w:sz w:val="24"/>
                <w:szCs w:val="24"/>
                <w:lang w:bidi="ar"/>
              </w:rPr>
              <w:t>本项目在“十三五”国家重点研发计划-课题等研究计划资助下，以吉林省食源性活性肽生产过程中存在的技术瓶颈和产业化困境为导向，聚焦食源性活性肽功效发挥与完整吸收机制不明确、创新制造与活性保护关键技术匮乏等制约产业发展的关键问题，以禽蛋、大豆、玉米和人参等为活性肽的优质原料，通过关键技术突破、产业化集成与应用，为食源性生物活性肽加工效率与稳定性提升、功能增益与体内生物有效性提升提供了有效技术支撑。</w:t>
            </w:r>
          </w:p>
          <w:p>
            <w:pPr>
              <w:spacing w:line="312" w:lineRule="auto"/>
              <w:ind w:firstLine="480" w:firstLineChars="200"/>
              <w:contextualSpacing/>
              <w:rPr>
                <w:rFonts w:eastAsia="仿宋"/>
                <w:bCs/>
                <w:color w:val="000000"/>
                <w:kern w:val="0"/>
                <w:sz w:val="24"/>
                <w:szCs w:val="24"/>
                <w:lang w:bidi="ar"/>
              </w:rPr>
            </w:pPr>
            <w:r>
              <w:rPr>
                <w:rFonts w:hint="eastAsia" w:eastAsia="仿宋"/>
                <w:bCs/>
                <w:color w:val="000000"/>
                <w:kern w:val="0"/>
                <w:sz w:val="24"/>
                <w:szCs w:val="24"/>
                <w:lang w:bidi="ar"/>
              </w:rPr>
              <w:t>（1）系统运用多维体外/体内功效评价模型，阐释了食源性活性肽抑制膜结合ACE、调节细胞膜相行为、抗氧化、抗凋亡、缓解急性结肠炎和修复皮肤机械损伤等多重功效发挥机制；揭示了食源性活性肽跨膜转运特性及机制，系统阐释了食源性活性肽的功效发挥与完整吸收机制。</w:t>
            </w:r>
          </w:p>
          <w:p>
            <w:pPr>
              <w:spacing w:line="312" w:lineRule="auto"/>
              <w:ind w:firstLine="480" w:firstLineChars="200"/>
              <w:contextualSpacing/>
              <w:rPr>
                <w:rFonts w:eastAsia="仿宋"/>
                <w:bCs/>
                <w:color w:val="000000"/>
                <w:kern w:val="0"/>
                <w:sz w:val="24"/>
                <w:szCs w:val="24"/>
                <w:lang w:bidi="ar"/>
              </w:rPr>
            </w:pPr>
            <w:r>
              <w:rPr>
                <w:rFonts w:hint="eastAsia" w:eastAsia="仿宋"/>
                <w:bCs/>
                <w:color w:val="000000"/>
                <w:kern w:val="0"/>
                <w:sz w:val="24"/>
                <w:szCs w:val="24"/>
                <w:lang w:bidi="ar"/>
              </w:rPr>
              <w:t>（2）综合运用虚拟酶解、柔性分子对接与网络药理学法，构建了基于靶向目标蛋白/关键酶筛选食源性活性肽的新策略，有效提高了序列筛选的有效性；通过开展功能差异分析、蛋白糖基化与凝胶定型、异质蛋白共发酵等技术攻关，构建了可控酶解及异质蛋白共发酵的活性肽创新制造关键技术，有效提高了制备效率，突破了食源性活性肽创新制造关键技术。</w:t>
            </w:r>
          </w:p>
          <w:p>
            <w:pPr>
              <w:spacing w:line="312" w:lineRule="auto"/>
              <w:ind w:firstLine="480" w:firstLineChars="200"/>
              <w:contextualSpacing/>
              <w:rPr>
                <w:rFonts w:eastAsia="仿宋_GB2312"/>
                <w:bCs/>
                <w:sz w:val="24"/>
                <w:szCs w:val="24"/>
              </w:rPr>
            </w:pPr>
            <w:r>
              <w:rPr>
                <w:rFonts w:hint="eastAsia" w:eastAsia="仿宋"/>
                <w:bCs/>
                <w:color w:val="000000"/>
                <w:kern w:val="0"/>
                <w:sz w:val="24"/>
                <w:szCs w:val="24"/>
                <w:lang w:bidi="ar"/>
              </w:rPr>
              <w:t>（3）基于虚拟筛选联合生物递送控制技术，有效提升了食源性活性肽在加工与胃肠道环境下的结构稳定性，构建了食源性活性肽稳定性提升关键技术；基于特征氨基酸偶联、靶向吸附、层层自组装等方法，构建了可控缓释与吸收增效关键技术，有效提高了食源性活性肽的体内生物利用度，突破了食源性活性肽活性保护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eastAsia="仿宋_GB2312"/>
                <w:b/>
                <w:bCs/>
                <w:sz w:val="24"/>
                <w:szCs w:val="24"/>
              </w:rPr>
              <w:t>提名书</w:t>
            </w:r>
          </w:p>
          <w:p>
            <w:pPr>
              <w:spacing w:line="440" w:lineRule="exact"/>
              <w:jc w:val="center"/>
              <w:rPr>
                <w:rFonts w:eastAsia="仿宋_GB2312"/>
                <w:b/>
                <w:bCs/>
                <w:sz w:val="24"/>
                <w:szCs w:val="24"/>
              </w:rPr>
            </w:pPr>
            <w:r>
              <w:rPr>
                <w:rFonts w:eastAsia="仿宋_GB2312"/>
                <w:b/>
                <w:bCs/>
                <w:sz w:val="24"/>
                <w:szCs w:val="24"/>
              </w:rPr>
              <w:t>相关内容</w:t>
            </w:r>
          </w:p>
        </w:tc>
        <w:tc>
          <w:tcPr>
            <w:tcW w:w="7051" w:type="dxa"/>
            <w:tcBorders>
              <w:left w:val="single" w:color="auto" w:sz="4" w:space="0"/>
            </w:tcBorders>
            <w:vAlign w:val="center"/>
          </w:tcPr>
          <w:p>
            <w:pPr>
              <w:autoSpaceDE w:val="0"/>
              <w:autoSpaceDN w:val="0"/>
              <w:adjustRightInd w:val="0"/>
              <w:snapToGrid w:val="0"/>
              <w:spacing w:line="288" w:lineRule="auto"/>
              <w:ind w:left="6" w:firstLine="480" w:firstLineChars="200"/>
              <w:rPr>
                <w:rFonts w:hint="eastAsia" w:eastAsia="仿宋"/>
                <w:bCs/>
                <w:color w:val="000000"/>
                <w:kern w:val="0"/>
                <w:sz w:val="24"/>
                <w:szCs w:val="24"/>
                <w:lang w:bidi="ar"/>
              </w:rPr>
            </w:pPr>
            <w:r>
              <w:rPr>
                <w:rFonts w:hint="eastAsia" w:eastAsia="仿宋"/>
                <w:bCs/>
                <w:color w:val="000000"/>
                <w:kern w:val="0"/>
                <w:sz w:val="24"/>
                <w:szCs w:val="24"/>
                <w:lang w:bidi="ar"/>
              </w:rPr>
              <w:t>本单位在本项目中的主要贡献涉及食源性活性肽在小肠上皮的吸收机制解析方面。</w:t>
            </w:r>
          </w:p>
          <w:p>
            <w:pPr>
              <w:autoSpaceDE w:val="0"/>
              <w:autoSpaceDN w:val="0"/>
              <w:adjustRightInd w:val="0"/>
              <w:snapToGrid w:val="0"/>
              <w:spacing w:line="288" w:lineRule="auto"/>
              <w:ind w:left="6" w:firstLine="480" w:firstLineChars="200"/>
              <w:rPr>
                <w:rFonts w:hint="eastAsia" w:eastAsia="仿宋"/>
                <w:bCs/>
                <w:color w:val="000000"/>
                <w:kern w:val="0"/>
                <w:sz w:val="24"/>
                <w:szCs w:val="24"/>
                <w:lang w:bidi="ar"/>
              </w:rPr>
            </w:pPr>
            <w:r>
              <w:rPr>
                <w:rFonts w:hint="eastAsia" w:eastAsia="仿宋"/>
                <w:bCs/>
                <w:color w:val="000000"/>
                <w:kern w:val="0"/>
                <w:sz w:val="24"/>
                <w:szCs w:val="24"/>
                <w:lang w:bidi="ar"/>
              </w:rPr>
              <w:t>利用氨基酸替换法构建了以Ala为基本骨架但具有不同N末端或C末端氨基酸残基的活性肽库，解析了具有不同N末端氨基酸残基活性肽的疏水性参数（log D）和分子量（MW）与表观渗透系数（P</w:t>
            </w:r>
            <w:r>
              <w:rPr>
                <w:rFonts w:hint="eastAsia" w:eastAsia="仿宋"/>
                <w:bCs/>
                <w:color w:val="000000"/>
                <w:kern w:val="0"/>
                <w:sz w:val="24"/>
                <w:szCs w:val="24"/>
                <w:vertAlign w:val="subscript"/>
                <w:lang w:bidi="ar"/>
              </w:rPr>
              <w:t>app</w:t>
            </w:r>
            <w:r>
              <w:rPr>
                <w:rFonts w:hint="eastAsia" w:eastAsia="仿宋"/>
                <w:bCs/>
                <w:color w:val="000000"/>
                <w:kern w:val="0"/>
                <w:sz w:val="24"/>
                <w:szCs w:val="24"/>
                <w:lang w:bidi="ar"/>
              </w:rPr>
              <w:t>值）之间的关系，充分阐明了活性肽P</w:t>
            </w:r>
            <w:r>
              <w:rPr>
                <w:rFonts w:hint="eastAsia" w:eastAsia="仿宋"/>
                <w:bCs/>
                <w:color w:val="000000"/>
                <w:kern w:val="0"/>
                <w:sz w:val="24"/>
                <w:szCs w:val="24"/>
                <w:vertAlign w:val="subscript"/>
                <w:lang w:bidi="ar"/>
              </w:rPr>
              <w:t>app</w:t>
            </w:r>
            <w:r>
              <w:rPr>
                <w:rFonts w:hint="eastAsia" w:eastAsia="仿宋"/>
                <w:bCs/>
                <w:color w:val="000000"/>
                <w:kern w:val="0"/>
                <w:sz w:val="24"/>
                <w:szCs w:val="24"/>
                <w:lang w:bidi="ar"/>
              </w:rPr>
              <w:t>值与log D和MW间的相关关系。</w:t>
            </w:r>
          </w:p>
          <w:p>
            <w:pPr>
              <w:autoSpaceDE w:val="0"/>
              <w:autoSpaceDN w:val="0"/>
              <w:adjustRightInd w:val="0"/>
              <w:snapToGrid w:val="0"/>
              <w:spacing w:line="288" w:lineRule="auto"/>
              <w:ind w:left="6" w:firstLine="480" w:firstLineChars="200"/>
              <w:rPr>
                <w:rFonts w:hint="eastAsia" w:eastAsia="仿宋"/>
                <w:bCs/>
                <w:color w:val="000000"/>
                <w:kern w:val="0"/>
                <w:sz w:val="24"/>
                <w:szCs w:val="24"/>
                <w:lang w:bidi="ar"/>
              </w:rPr>
            </w:pPr>
            <w:r>
              <w:rPr>
                <w:rFonts w:hint="eastAsia" w:eastAsia="仿宋"/>
                <w:bCs/>
                <w:color w:val="000000"/>
                <w:kern w:val="0"/>
                <w:sz w:val="24"/>
                <w:szCs w:val="24"/>
                <w:lang w:bidi="ar"/>
              </w:rPr>
              <w:t>借助末端氨基酸修饰法，将食源性活性肽N末端修饰为Leu、Pro、Ile、Cys、Met、Val和C末端为Val，以及N末端或C末端为Tyr，有效提高了食源性活性肽的完整吸收效率，其P</w:t>
            </w:r>
            <w:r>
              <w:rPr>
                <w:rFonts w:hint="eastAsia" w:eastAsia="仿宋"/>
                <w:bCs/>
                <w:color w:val="000000"/>
                <w:kern w:val="0"/>
                <w:sz w:val="24"/>
                <w:szCs w:val="24"/>
                <w:vertAlign w:val="subscript"/>
                <w:lang w:bidi="ar"/>
              </w:rPr>
              <w:t>app</w:t>
            </w:r>
            <w:r>
              <w:rPr>
                <w:rFonts w:hint="eastAsia" w:eastAsia="仿宋"/>
                <w:bCs/>
                <w:color w:val="000000"/>
                <w:kern w:val="0"/>
                <w:sz w:val="24"/>
                <w:szCs w:val="24"/>
                <w:lang w:bidi="ar"/>
              </w:rPr>
              <w:t>值大于10</w:t>
            </w:r>
            <w:r>
              <w:rPr>
                <w:rFonts w:hint="eastAsia" w:eastAsia="仿宋"/>
                <w:bCs/>
                <w:color w:val="000000"/>
                <w:kern w:val="0"/>
                <w:sz w:val="24"/>
                <w:szCs w:val="24"/>
                <w:vertAlign w:val="superscript"/>
                <w:lang w:bidi="ar"/>
              </w:rPr>
              <w:t>-6</w:t>
            </w:r>
            <w:r>
              <w:rPr>
                <w:rFonts w:hint="eastAsia" w:eastAsia="仿宋"/>
                <w:bCs/>
                <w:color w:val="000000"/>
                <w:kern w:val="0"/>
                <w:sz w:val="24"/>
                <w:szCs w:val="24"/>
                <w:lang w:bidi="ar"/>
              </w:rPr>
              <w:t>cm/s。</w:t>
            </w:r>
          </w:p>
          <w:p>
            <w:pPr>
              <w:autoSpaceDE w:val="0"/>
              <w:autoSpaceDN w:val="0"/>
              <w:adjustRightInd w:val="0"/>
              <w:snapToGrid w:val="0"/>
              <w:spacing w:line="288" w:lineRule="auto"/>
              <w:ind w:left="6" w:firstLine="480" w:firstLineChars="200"/>
              <w:rPr>
                <w:rFonts w:eastAsia="仿宋_GB2312"/>
                <w:bCs/>
                <w:sz w:val="24"/>
                <w:szCs w:val="24"/>
                <w:highlight w:val="yellow"/>
              </w:rPr>
            </w:pPr>
            <w:r>
              <w:rPr>
                <w:rFonts w:hint="eastAsia" w:eastAsia="仿宋"/>
                <w:bCs/>
                <w:color w:val="000000"/>
                <w:kern w:val="0"/>
                <w:sz w:val="24"/>
                <w:szCs w:val="24"/>
                <w:lang w:bidi="ar"/>
              </w:rPr>
              <w:t>通过对食源性活性肽在小肠上皮的吸收机制解析，为本项目中食源性活性肽可控缓释与吸收增效关键技术的突破奠定了坚实基础。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2269" w:type="dxa"/>
            <w:vAlign w:val="center"/>
          </w:tcPr>
          <w:p>
            <w:pPr>
              <w:spacing w:line="440" w:lineRule="exact"/>
              <w:jc w:val="center"/>
              <w:rPr>
                <w:rFonts w:eastAsia="仿宋_GB2312"/>
                <w:b/>
                <w:bCs/>
                <w:sz w:val="24"/>
                <w:szCs w:val="24"/>
                <w:lang w:val="en"/>
              </w:rPr>
            </w:pPr>
            <w:r>
              <w:rPr>
                <w:rFonts w:eastAsia="仿宋_GB2312"/>
                <w:b/>
                <w:bCs/>
                <w:sz w:val="24"/>
                <w:szCs w:val="24"/>
              </w:rPr>
              <w:t>主要完成人</w:t>
            </w:r>
          </w:p>
        </w:tc>
        <w:tc>
          <w:tcPr>
            <w:tcW w:w="7051" w:type="dxa"/>
            <w:vAlign w:val="center"/>
          </w:tcPr>
          <w:p>
            <w:pPr>
              <w:spacing w:line="440" w:lineRule="exact"/>
              <w:rPr>
                <w:rFonts w:eastAsia="仿宋_GB2312"/>
                <w:bCs/>
                <w:sz w:val="24"/>
                <w:szCs w:val="24"/>
              </w:rPr>
            </w:pPr>
            <w:r>
              <w:rPr>
                <w:rFonts w:hint="eastAsia" w:eastAsia="仿宋_GB2312"/>
                <w:bCs/>
                <w:sz w:val="24"/>
                <w:szCs w:val="24"/>
              </w:rPr>
              <w:t>张  婷</w:t>
            </w:r>
            <w:r>
              <w:rPr>
                <w:rFonts w:eastAsia="仿宋_GB2312"/>
                <w:bCs/>
                <w:sz w:val="24"/>
                <w:szCs w:val="24"/>
              </w:rPr>
              <w:t>，排名1，</w:t>
            </w:r>
            <w:r>
              <w:rPr>
                <w:rFonts w:hint="eastAsia" w:eastAsia="仿宋_GB2312"/>
                <w:bCs/>
                <w:sz w:val="24"/>
                <w:szCs w:val="24"/>
              </w:rPr>
              <w:t>教  授</w:t>
            </w:r>
            <w:r>
              <w:rPr>
                <w:rFonts w:eastAsia="仿宋_GB2312"/>
                <w:bCs/>
                <w:sz w:val="24"/>
                <w:szCs w:val="24"/>
              </w:rPr>
              <w:t>，</w:t>
            </w:r>
            <w:r>
              <w:rPr>
                <w:rFonts w:hint="eastAsia" w:eastAsia="仿宋_GB2312"/>
                <w:bCs/>
                <w:sz w:val="24"/>
                <w:szCs w:val="24"/>
              </w:rPr>
              <w:t>吉林大学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杜志阳</w:t>
            </w:r>
            <w:r>
              <w:rPr>
                <w:rFonts w:eastAsia="仿宋_GB2312"/>
                <w:bCs/>
                <w:sz w:val="24"/>
                <w:szCs w:val="24"/>
              </w:rPr>
              <w:t>，排名2，</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吉林大学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刘静波</w:t>
            </w:r>
            <w:r>
              <w:rPr>
                <w:rFonts w:eastAsia="仿宋_GB2312"/>
                <w:bCs/>
                <w:sz w:val="24"/>
                <w:szCs w:val="24"/>
              </w:rPr>
              <w:t>，排名3，</w:t>
            </w:r>
            <w:r>
              <w:rPr>
                <w:rFonts w:hint="eastAsia" w:eastAsia="仿宋_GB2312"/>
                <w:bCs/>
                <w:sz w:val="24"/>
                <w:szCs w:val="24"/>
              </w:rPr>
              <w:t>教  授</w:t>
            </w:r>
            <w:r>
              <w:rPr>
                <w:rFonts w:eastAsia="仿宋_GB2312"/>
                <w:bCs/>
                <w:sz w:val="24"/>
                <w:szCs w:val="24"/>
              </w:rPr>
              <w:t>，</w:t>
            </w:r>
            <w:r>
              <w:rPr>
                <w:rFonts w:hint="eastAsia" w:eastAsia="仿宋_GB2312"/>
                <w:bCs/>
                <w:sz w:val="24"/>
                <w:szCs w:val="24"/>
              </w:rPr>
              <w:t>吉林大学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于一丁，</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助理研究员，吉林大学；</w:t>
            </w:r>
          </w:p>
          <w:p>
            <w:pPr>
              <w:spacing w:line="440" w:lineRule="exact"/>
              <w:rPr>
                <w:rFonts w:eastAsia="仿宋_GB2312"/>
                <w:bCs/>
                <w:sz w:val="24"/>
                <w:szCs w:val="24"/>
              </w:rPr>
            </w:pPr>
            <w:r>
              <w:rPr>
                <w:rFonts w:hint="eastAsia" w:eastAsia="仿宋_GB2312"/>
                <w:bCs/>
                <w:sz w:val="24"/>
                <w:szCs w:val="24"/>
              </w:rPr>
              <w:t>姜轶群，</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副教授，吉林大学；</w:t>
            </w:r>
          </w:p>
          <w:p>
            <w:pPr>
              <w:spacing w:line="440" w:lineRule="exact"/>
              <w:rPr>
                <w:rFonts w:eastAsia="仿宋_GB2312"/>
                <w:bCs/>
                <w:sz w:val="24"/>
                <w:szCs w:val="24"/>
              </w:rPr>
            </w:pPr>
            <w:r>
              <w:rPr>
                <w:rFonts w:hint="eastAsia" w:eastAsia="仿宋_GB2312"/>
                <w:bCs/>
                <w:sz w:val="24"/>
                <w:szCs w:val="24"/>
              </w:rPr>
              <w:t>于志鹏，</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教  授，海南大学；</w:t>
            </w:r>
          </w:p>
          <w:p>
            <w:pPr>
              <w:spacing w:line="440" w:lineRule="exact"/>
              <w:rPr>
                <w:rFonts w:eastAsia="仿宋_GB2312"/>
                <w:bCs/>
                <w:sz w:val="24"/>
                <w:szCs w:val="24"/>
              </w:rPr>
            </w:pPr>
            <w:r>
              <w:rPr>
                <w:rFonts w:hint="eastAsia" w:eastAsia="仿宋_GB2312"/>
                <w:bCs/>
                <w:sz w:val="24"/>
                <w:szCs w:val="24"/>
              </w:rPr>
              <w:t>丁  龙，排名7，副教授，西北农林科技大学；</w:t>
            </w:r>
          </w:p>
          <w:p>
            <w:pPr>
              <w:spacing w:line="440" w:lineRule="exact"/>
              <w:rPr>
                <w:rFonts w:eastAsia="仿宋_GB2312"/>
                <w:bCs/>
                <w:sz w:val="24"/>
                <w:szCs w:val="24"/>
              </w:rPr>
            </w:pPr>
            <w:r>
              <w:rPr>
                <w:rFonts w:hint="eastAsia" w:eastAsia="仿宋_GB2312"/>
                <w:bCs/>
                <w:sz w:val="24"/>
                <w:szCs w:val="24"/>
              </w:rPr>
              <w:t>王  莹，排名8，副教授，吉林工程技术师范学院；</w:t>
            </w:r>
          </w:p>
          <w:p>
            <w:pPr>
              <w:spacing w:line="440" w:lineRule="exact"/>
              <w:rPr>
                <w:rFonts w:eastAsia="仿宋_GB2312"/>
                <w:bCs/>
                <w:sz w:val="24"/>
                <w:szCs w:val="24"/>
              </w:rPr>
            </w:pPr>
            <w:r>
              <w:rPr>
                <w:rFonts w:hint="eastAsia" w:eastAsia="仿宋_GB2312"/>
                <w:bCs/>
                <w:sz w:val="24"/>
                <w:szCs w:val="24"/>
              </w:rPr>
              <w:t>石  丰，排名9，总  裁，国药肽谷有限公司；</w:t>
            </w:r>
          </w:p>
          <w:p>
            <w:pPr>
              <w:spacing w:line="440" w:lineRule="exact"/>
              <w:rPr>
                <w:rFonts w:eastAsia="仿宋_GB2312"/>
                <w:bCs/>
                <w:sz w:val="24"/>
                <w:szCs w:val="24"/>
              </w:rPr>
            </w:pPr>
            <w:r>
              <w:rPr>
                <w:rFonts w:hint="eastAsia" w:eastAsia="仿宋_GB2312"/>
                <w:bCs/>
                <w:sz w:val="24"/>
                <w:szCs w:val="24"/>
              </w:rPr>
              <w:t>丁金刚，排名10，经  理，国药肽谷有限公司；</w:t>
            </w:r>
          </w:p>
          <w:p>
            <w:pPr>
              <w:spacing w:line="440" w:lineRule="exact"/>
              <w:rPr>
                <w:rFonts w:eastAsia="仿宋_GB2312"/>
                <w:bCs/>
                <w:sz w:val="24"/>
                <w:szCs w:val="24"/>
              </w:rPr>
            </w:pPr>
            <w:r>
              <w:rPr>
                <w:rFonts w:hint="eastAsia" w:eastAsia="仿宋_GB2312"/>
                <w:bCs/>
                <w:sz w:val="24"/>
                <w:szCs w:val="24"/>
              </w:rPr>
              <w:t>刘博群，排名11，副教授，吉林大学；</w:t>
            </w:r>
          </w:p>
          <w:p>
            <w:pPr>
              <w:spacing w:line="440" w:lineRule="exact"/>
              <w:rPr>
                <w:rFonts w:eastAsia="仿宋_GB2312"/>
                <w:bCs/>
                <w:sz w:val="24"/>
                <w:szCs w:val="24"/>
              </w:rPr>
            </w:pPr>
            <w:r>
              <w:rPr>
                <w:rFonts w:hint="eastAsia" w:eastAsia="仿宋_GB2312"/>
                <w:bCs/>
                <w:sz w:val="24"/>
                <w:szCs w:val="24"/>
              </w:rPr>
              <w:t>刘轩廷，排名12，副教授，吉林大学；</w:t>
            </w:r>
          </w:p>
          <w:p>
            <w:pPr>
              <w:spacing w:line="440" w:lineRule="exact"/>
              <w:rPr>
                <w:rFonts w:eastAsia="仿宋_GB2312"/>
                <w:bCs/>
                <w:sz w:val="24"/>
                <w:szCs w:val="24"/>
                <w:highlight w:val="yellow"/>
              </w:rPr>
            </w:pPr>
            <w:r>
              <w:rPr>
                <w:rFonts w:hint="eastAsia" w:eastAsia="仿宋_GB2312"/>
                <w:bCs/>
                <w:sz w:val="24"/>
                <w:szCs w:val="24"/>
              </w:rPr>
              <w:t>尚晓敏，排名13，副教授，吉林大学。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2269" w:type="dxa"/>
            <w:vAlign w:val="center"/>
          </w:tcPr>
          <w:p>
            <w:pPr>
              <w:spacing w:line="440" w:lineRule="exact"/>
              <w:jc w:val="center"/>
              <w:rPr>
                <w:rFonts w:eastAsia="仿宋_GB2312"/>
                <w:b/>
                <w:bCs/>
                <w:sz w:val="24"/>
                <w:szCs w:val="24"/>
              </w:rPr>
            </w:pPr>
            <w:r>
              <w:rPr>
                <w:rFonts w:eastAsia="仿宋_GB2312"/>
                <w:b/>
                <w:bCs/>
                <w:sz w:val="24"/>
                <w:szCs w:val="24"/>
              </w:rPr>
              <w:t>主要完成单位</w:t>
            </w:r>
          </w:p>
        </w:tc>
        <w:tc>
          <w:tcPr>
            <w:tcW w:w="7051" w:type="dxa"/>
            <w:vAlign w:val="center"/>
          </w:tcPr>
          <w:p>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吉林大学</w:t>
            </w:r>
          </w:p>
          <w:p>
            <w:pPr>
              <w:spacing w:line="440" w:lineRule="exact"/>
              <w:jc w:val="left"/>
              <w:rPr>
                <w:rFonts w:eastAsia="仿宋_GB2312"/>
                <w:bCs/>
                <w:sz w:val="24"/>
                <w:szCs w:val="24"/>
              </w:rPr>
            </w:pPr>
            <w:r>
              <w:rPr>
                <w:rFonts w:eastAsia="仿宋_GB2312"/>
                <w:bCs/>
                <w:sz w:val="24"/>
                <w:szCs w:val="24"/>
              </w:rPr>
              <w:t>2.</w:t>
            </w:r>
            <w:r>
              <w:rPr>
                <w:rFonts w:hint="eastAsia" w:eastAsia="仿宋_GB2312"/>
                <w:bCs/>
                <w:sz w:val="24"/>
                <w:szCs w:val="24"/>
              </w:rPr>
              <w:t>海南大学</w:t>
            </w:r>
          </w:p>
          <w:p>
            <w:pPr>
              <w:spacing w:line="440" w:lineRule="exact"/>
              <w:jc w:val="left"/>
              <w:rPr>
                <w:rFonts w:eastAsia="仿宋_GB2312"/>
                <w:bCs/>
                <w:sz w:val="24"/>
                <w:szCs w:val="24"/>
              </w:rPr>
            </w:pPr>
            <w:r>
              <w:rPr>
                <w:rFonts w:eastAsia="仿宋_GB2312"/>
                <w:bCs/>
                <w:sz w:val="24"/>
                <w:szCs w:val="24"/>
              </w:rPr>
              <w:t>3.</w:t>
            </w:r>
            <w:r>
              <w:rPr>
                <w:rFonts w:hint="eastAsia" w:eastAsia="仿宋_GB2312"/>
                <w:bCs/>
                <w:sz w:val="24"/>
                <w:szCs w:val="24"/>
              </w:rPr>
              <w:t>西北农林科技大学</w:t>
            </w:r>
          </w:p>
          <w:p>
            <w:pPr>
              <w:spacing w:line="440" w:lineRule="exact"/>
              <w:jc w:val="left"/>
              <w:rPr>
                <w:rFonts w:eastAsia="仿宋_GB2312"/>
                <w:bCs/>
                <w:sz w:val="24"/>
                <w:szCs w:val="24"/>
              </w:rPr>
            </w:pPr>
            <w:r>
              <w:rPr>
                <w:rFonts w:hint="eastAsia" w:eastAsia="仿宋_GB2312"/>
                <w:bCs/>
                <w:sz w:val="24"/>
                <w:szCs w:val="24"/>
              </w:rPr>
              <w:t>4.吉林工程技术师范学院</w:t>
            </w:r>
          </w:p>
          <w:p>
            <w:pPr>
              <w:spacing w:line="440" w:lineRule="exact"/>
              <w:jc w:val="left"/>
              <w:rPr>
                <w:rFonts w:eastAsia="仿宋"/>
                <w:bCs/>
                <w:sz w:val="24"/>
                <w:szCs w:val="24"/>
                <w:highlight w:val="yellow"/>
              </w:rPr>
            </w:pPr>
            <w:r>
              <w:rPr>
                <w:rFonts w:hint="eastAsia" w:eastAsia="仿宋_GB2312"/>
                <w:bCs/>
                <w:sz w:val="24"/>
                <w:szCs w:val="24"/>
              </w:rPr>
              <w:t>5.国药肽谷有限公司</w:t>
            </w:r>
          </w:p>
        </w:tc>
      </w:tr>
    </w:tbl>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说明：公示</w:t>
      </w:r>
      <w:r>
        <w:rPr>
          <w:rFonts w:hint="eastAsia" w:ascii="仿宋_GB2312" w:hAnsi="仿宋_GB2312" w:eastAsia="仿宋_GB2312" w:cs="仿宋_GB2312"/>
          <w:b/>
          <w:bCs/>
          <w:sz w:val="24"/>
          <w:szCs w:val="24"/>
        </w:rPr>
        <w:t>至少7个</w:t>
      </w:r>
      <w:r>
        <w:rPr>
          <w:rFonts w:hint="eastAsia" w:ascii="仿宋_GB2312" w:hAnsi="仿宋_GB2312" w:eastAsia="仿宋_GB2312" w:cs="仿宋_GB2312"/>
          <w:b/>
          <w:bCs/>
          <w:sz w:val="24"/>
          <w:szCs w:val="24"/>
          <w:u w:val="wavyHeavy"/>
        </w:rPr>
        <w:t>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GJkODFlYmZkYmMyYmQwZjVlZjMxMTdiZDNmZGEifQ=="/>
  </w:docVars>
  <w:rsids>
    <w:rsidRoot w:val="00AB55A6"/>
    <w:rsid w:val="000B19E8"/>
    <w:rsid w:val="001B5475"/>
    <w:rsid w:val="001F44D3"/>
    <w:rsid w:val="00316BD7"/>
    <w:rsid w:val="00371A69"/>
    <w:rsid w:val="008268E3"/>
    <w:rsid w:val="00A03ED5"/>
    <w:rsid w:val="00AB55A6"/>
    <w:rsid w:val="00B81A63"/>
    <w:rsid w:val="00D467D9"/>
    <w:rsid w:val="05EF467C"/>
    <w:rsid w:val="07CE0C03"/>
    <w:rsid w:val="14BC68BB"/>
    <w:rsid w:val="160E36A4"/>
    <w:rsid w:val="18357EE7"/>
    <w:rsid w:val="1C067EC2"/>
    <w:rsid w:val="2959155B"/>
    <w:rsid w:val="348002E4"/>
    <w:rsid w:val="391953AC"/>
    <w:rsid w:val="3B8443B3"/>
    <w:rsid w:val="41040F2D"/>
    <w:rsid w:val="48E71589"/>
    <w:rsid w:val="4BEF747B"/>
    <w:rsid w:val="54321A95"/>
    <w:rsid w:val="56F6302C"/>
    <w:rsid w:val="64423FE3"/>
    <w:rsid w:val="6A721EA2"/>
    <w:rsid w:val="764013BB"/>
    <w:rsid w:val="7B22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character" w:styleId="6">
    <w:name w:val="Hyperlink"/>
    <w:qFormat/>
    <w:uiPriority w:val="0"/>
    <w:rPr>
      <w:color w:val="0000FF"/>
      <w:u w:val="single"/>
    </w:rPr>
  </w:style>
  <w:style w:type="character" w:customStyle="1" w:styleId="7">
    <w:name w:val="title1"/>
    <w:autoRedefine/>
    <w:qFormat/>
    <w:uiPriority w:val="0"/>
    <w:rPr>
      <w:b/>
      <w:bCs/>
      <w:color w:val="999900"/>
      <w:sz w:val="24"/>
      <w:szCs w:val="24"/>
    </w:r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290</Words>
  <Characters>1659</Characters>
  <Lines>13</Lines>
  <Paragraphs>3</Paragraphs>
  <TotalTime>35</TotalTime>
  <ScaleCrop>false</ScaleCrop>
  <LinksUpToDate>false</LinksUpToDate>
  <CharactersWithSpaces>1946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2023-12-21T07:28:00Z</dcterms:created>
  <dc:creator>Lenovo</dc:creator>
  <cp:lastModifiedBy>丁龙</cp:lastModifiedBy>
  <cp:lastPrinted>2024-04-17T07:13:04Z</cp:lastPrinted>
  <dcterms:modified xsi:type="dcterms:W3CDTF">2024-04-17T07:13:44Z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F802AD25AEDE49F4951D99933278E9B3_13</vt:lpwstr>
  </property>
</Properties>
</file>