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both"/>
        <w:rPr>
          <w:rFonts w:hint="eastAsia" w:ascii="黑体" w:hAnsi="黑体" w:eastAsia="黑体" w:cs="黑体"/>
          <w:sz w:val="32"/>
          <w:szCs w:val="32"/>
          <w:lang w:val="en-US" w:eastAsia="zh-CN"/>
        </w:rPr>
      </w:pPr>
    </w:p>
    <w:p>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食品科学与工程学院2022年工作要点</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bidi w:val="0"/>
        <w:spacing w:line="580" w:lineRule="exact"/>
        <w:ind w:firstLine="640" w:firstLineChars="200"/>
        <w:textAlignment w:val="auto"/>
        <w:rPr>
          <w:rFonts w:ascii="仿宋" w:hAnsi="仿宋" w:eastAsia="仿宋" w:cs="仿宋"/>
          <w:sz w:val="32"/>
          <w:szCs w:val="32"/>
          <w:lang w:eastAsia="zh-CN"/>
        </w:rPr>
      </w:pPr>
      <w:r>
        <w:rPr>
          <w:rFonts w:hint="eastAsia" w:ascii="仿宋" w:hAnsi="仿宋" w:eastAsia="仿宋" w:cs="仿宋"/>
          <w:sz w:val="32"/>
          <w:szCs w:val="32"/>
          <w:lang w:eastAsia="zh-CN"/>
        </w:rPr>
        <w:t>2022年学院工作的总体思路是：坚持以习近平新时代中国特色社会主义思想为指导，深入贯彻党的十九大和十九届历次全会精神，认真落实习近平总书记关于教育工作的重要论述和涉农高校回信精神，巩固拓展党史学习教育成果，按照学校年度工作主题，深入</w:t>
      </w:r>
      <w:bookmarkStart w:id="0" w:name="_GoBack"/>
      <w:bookmarkEnd w:id="0"/>
      <w:r>
        <w:rPr>
          <w:rFonts w:hint="eastAsia" w:ascii="仿宋" w:hAnsi="仿宋" w:eastAsia="仿宋" w:cs="仿宋"/>
          <w:sz w:val="32"/>
          <w:szCs w:val="32"/>
          <w:lang w:eastAsia="zh-CN"/>
        </w:rPr>
        <w:t>落实学院“3</w:t>
      </w:r>
      <w:r>
        <w:rPr>
          <w:rFonts w:ascii="仿宋" w:hAnsi="仿宋" w:eastAsia="仿宋" w:cs="仿宋"/>
          <w:sz w:val="32"/>
          <w:szCs w:val="32"/>
          <w:lang w:eastAsia="zh-CN"/>
        </w:rPr>
        <w:t>4531</w:t>
      </w:r>
      <w:r>
        <w:rPr>
          <w:rFonts w:hint="eastAsia" w:ascii="仿宋" w:hAnsi="仿宋" w:eastAsia="仿宋" w:cs="仿宋"/>
          <w:sz w:val="32"/>
          <w:szCs w:val="32"/>
          <w:lang w:eastAsia="zh-CN"/>
        </w:rPr>
        <w:t>”发展战略和“十四五”发展规划，加强党对学院工作的全面领导，突出党的政治建设，履行管党治党政治责任，落实立德树人根本任务、涵养良好政治生态、抓好人才队伍建设、夯实学科发展基础，服务国家战略，推动学院各项事业高质量发展，以优异成绩向党的二十大献礼。</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一、加强党的全面领导，落实管党治党责任</w:t>
      </w:r>
    </w:p>
    <w:p>
      <w:pPr>
        <w:keepNext w:val="0"/>
        <w:keepLines w:val="0"/>
        <w:pageBreakBefore w:val="0"/>
        <w:widowControl w:val="0"/>
        <w:kinsoku/>
        <w:wordWrap/>
        <w:overflowPunct/>
        <w:topLinePunct w:val="0"/>
        <w:bidi w:val="0"/>
        <w:spacing w:line="580" w:lineRule="exact"/>
        <w:ind w:firstLine="643" w:firstLineChars="200"/>
        <w:jc w:val="both"/>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1.持续加强党的创新理论武装。</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认真学习贯彻习近平新时代中国特色社会主义思想，抓好十九届六中全会精神学习，跟进学习习近平总书记重要讲话、指示批示精神，巩固党史学习教育成果，不断增强师生政治理论学习的针对性实效性。</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 xml:space="preserve">弘扬伟大建党精神，引导师生坚定历史自信，强化历史担当，深刻领会“两个确立”的决定性意义，不断增强“四个意识”，坚定“四个自信”，做到“两个维护”，为高质量发展持续注入新的动力。 </w:t>
      </w:r>
    </w:p>
    <w:p>
      <w:pPr>
        <w:keepNext w:val="0"/>
        <w:keepLines w:val="0"/>
        <w:pageBreakBefore w:val="0"/>
        <w:widowControl w:val="0"/>
        <w:kinsoku/>
        <w:wordWrap/>
        <w:overflowPunct/>
        <w:topLinePunct w:val="0"/>
        <w:bidi w:val="0"/>
        <w:spacing w:line="580" w:lineRule="exact"/>
        <w:ind w:firstLine="643" w:firstLineChars="200"/>
        <w:jc w:val="both"/>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2.强化党委政治功能。</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在人才培养、科学研究、社会服务、师资队伍建设、教育评价改革等工作中坚守政治方向、政治立场、政治原则，党的建设和业务工作深度融合、一体谋划、同步落实，确保“十四五”规划任务顺利推进。</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严格意识形态阵地管理，严格网站新闻发布和报告会举办审批制度，做好课堂授课纪律的监督，以及教材的审核把关。</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筑牢实验室安全防线，抓好安全隐患排查和疫情常态化防控，关注特殊群体学生，建立家校协同工作机制，落实帮扶关爱措施，维护平安稳定大局。</w:t>
      </w:r>
    </w:p>
    <w:p>
      <w:pPr>
        <w:keepNext w:val="0"/>
        <w:keepLines w:val="0"/>
        <w:pageBreakBefore w:val="0"/>
        <w:widowControl w:val="0"/>
        <w:kinsoku/>
        <w:wordWrap/>
        <w:overflowPunct/>
        <w:topLinePunct w:val="0"/>
        <w:bidi w:val="0"/>
        <w:spacing w:line="580" w:lineRule="exact"/>
        <w:ind w:firstLine="643" w:firstLineChars="200"/>
        <w:jc w:val="both"/>
        <w:textAlignment w:val="auto"/>
        <w:rPr>
          <w:rFonts w:ascii="仿宋" w:hAnsi="仿宋" w:eastAsia="仿宋" w:cs="仿宋"/>
          <w:color w:val="auto"/>
          <w:sz w:val="32"/>
          <w:szCs w:val="32"/>
          <w:lang w:eastAsia="zh-CN"/>
        </w:rPr>
      </w:pPr>
      <w:r>
        <w:rPr>
          <w:rFonts w:hint="eastAsia" w:ascii="楷体" w:hAnsi="楷体" w:eastAsia="楷体" w:cs="仿宋"/>
          <w:b/>
          <w:sz w:val="32"/>
          <w:szCs w:val="32"/>
          <w:lang w:eastAsia="zh-CN"/>
        </w:rPr>
        <w:t>3.加强基层组</w:t>
      </w:r>
      <w:r>
        <w:rPr>
          <w:rFonts w:hint="eastAsia" w:ascii="楷体" w:hAnsi="楷体" w:eastAsia="楷体" w:cs="仿宋"/>
          <w:b/>
          <w:color w:val="auto"/>
          <w:sz w:val="32"/>
          <w:szCs w:val="32"/>
          <w:lang w:eastAsia="zh-CN"/>
        </w:rPr>
        <w:t>织建设，助推乡村振兴。</w:t>
      </w:r>
      <w:r>
        <w:rPr>
          <w:rFonts w:hint="eastAsia" w:ascii="仿宋" w:hAnsi="仿宋" w:eastAsia="仿宋" w:cs="仿宋"/>
          <w:b/>
          <w:color w:val="auto"/>
          <w:sz w:val="32"/>
          <w:szCs w:val="32"/>
          <w:lang w:eastAsia="zh-CN"/>
        </w:rPr>
        <w:t>一是</w:t>
      </w:r>
      <w:r>
        <w:rPr>
          <w:rFonts w:hint="eastAsia" w:ascii="仿宋" w:hAnsi="仿宋" w:eastAsia="仿宋" w:cs="仿宋"/>
          <w:color w:val="auto"/>
          <w:sz w:val="32"/>
          <w:szCs w:val="32"/>
          <w:lang w:eastAsia="zh-CN"/>
        </w:rPr>
        <w:t>加强系、支部班子建设，针对性开展工作培训，强化系、支部在学院基层治理中的作用。严格党内政治生活制度，强化支部在教育管理监督党员，组织宣传凝聚服务群众的工作职责。</w:t>
      </w:r>
      <w:r>
        <w:rPr>
          <w:rFonts w:hint="eastAsia" w:ascii="仿宋" w:hAnsi="仿宋" w:eastAsia="仿宋" w:cs="仿宋"/>
          <w:b/>
          <w:color w:val="auto"/>
          <w:sz w:val="32"/>
          <w:szCs w:val="32"/>
          <w:lang w:eastAsia="zh-CN"/>
        </w:rPr>
        <w:t>二是</w:t>
      </w:r>
      <w:r>
        <w:rPr>
          <w:rFonts w:hint="eastAsia" w:ascii="仿宋" w:hAnsi="仿宋" w:eastAsia="仿宋" w:cs="仿宋"/>
          <w:color w:val="auto"/>
          <w:sz w:val="32"/>
          <w:szCs w:val="32"/>
          <w:lang w:eastAsia="zh-CN"/>
        </w:rPr>
        <w:t>做好样板党支部培育，开展支部工作经验交流，建立本科生党支部和研究生党支部结对共建机制，探索强化支部建设新机制、新路径，提升基层党组织战斗力。</w:t>
      </w:r>
      <w:r>
        <w:rPr>
          <w:rFonts w:hint="eastAsia" w:ascii="仿宋" w:hAnsi="仿宋" w:eastAsia="仿宋" w:cs="仿宋"/>
          <w:b/>
          <w:bCs/>
          <w:color w:val="auto"/>
          <w:sz w:val="32"/>
          <w:szCs w:val="32"/>
          <w:lang w:eastAsia="zh-CN"/>
        </w:rPr>
        <w:t>三是</w:t>
      </w:r>
      <w:r>
        <w:rPr>
          <w:rFonts w:hint="eastAsia" w:ascii="仿宋" w:hAnsi="仿宋" w:eastAsia="仿宋" w:cs="仿宋"/>
          <w:b w:val="0"/>
          <w:bCs w:val="0"/>
          <w:color w:val="auto"/>
          <w:sz w:val="32"/>
          <w:szCs w:val="32"/>
          <w:lang w:eastAsia="zh-CN"/>
        </w:rPr>
        <w:t>继续做好与合阳县路井镇新民社区党支部的共建帮扶工作，发挥科教优势，确保校企协同“五联一抓”助包村工作有效落实，以党建助推乡村振兴工作。</w:t>
      </w:r>
    </w:p>
    <w:p>
      <w:pPr>
        <w:keepNext w:val="0"/>
        <w:keepLines w:val="0"/>
        <w:pageBreakBefore w:val="0"/>
        <w:widowControl w:val="0"/>
        <w:kinsoku/>
        <w:wordWrap/>
        <w:overflowPunct/>
        <w:topLinePunct w:val="0"/>
        <w:bidi w:val="0"/>
        <w:spacing w:line="580" w:lineRule="exact"/>
        <w:ind w:firstLine="643" w:firstLineChars="200"/>
        <w:jc w:val="both"/>
        <w:textAlignment w:val="auto"/>
        <w:rPr>
          <w:rFonts w:ascii="仿宋" w:hAnsi="仿宋" w:eastAsia="仿宋" w:cs="仿宋"/>
          <w:sz w:val="32"/>
          <w:szCs w:val="32"/>
          <w:lang w:eastAsia="zh-CN"/>
        </w:rPr>
      </w:pPr>
      <w:r>
        <w:rPr>
          <w:rFonts w:hint="eastAsia" w:ascii="楷体" w:hAnsi="楷体" w:eastAsia="楷体" w:cs="仿宋"/>
          <w:b/>
          <w:color w:val="auto"/>
          <w:sz w:val="32"/>
          <w:szCs w:val="32"/>
          <w:lang w:eastAsia="zh-CN"/>
        </w:rPr>
        <w:t>4.构建长效机制，深化巡视整改。</w:t>
      </w:r>
      <w:r>
        <w:rPr>
          <w:rFonts w:hint="eastAsia" w:ascii="仿宋" w:hAnsi="仿宋" w:eastAsia="仿宋" w:cs="仿宋"/>
          <w:b/>
          <w:color w:val="auto"/>
          <w:sz w:val="32"/>
          <w:szCs w:val="32"/>
          <w:lang w:eastAsia="zh-CN"/>
        </w:rPr>
        <w:t>一是</w:t>
      </w:r>
      <w:r>
        <w:rPr>
          <w:rFonts w:hint="eastAsia" w:ascii="仿宋" w:hAnsi="仿宋" w:eastAsia="仿宋" w:cs="仿宋"/>
          <w:color w:val="auto"/>
          <w:sz w:val="32"/>
          <w:szCs w:val="32"/>
          <w:lang w:eastAsia="zh-CN"/>
        </w:rPr>
        <w:t>进一步压实责任，</w:t>
      </w:r>
      <w:r>
        <w:rPr>
          <w:rFonts w:hint="eastAsia" w:ascii="仿宋" w:hAnsi="仿宋" w:eastAsia="仿宋" w:cs="仿宋"/>
          <w:sz w:val="32"/>
          <w:szCs w:val="32"/>
          <w:lang w:eastAsia="zh-CN"/>
        </w:rPr>
        <w:t>加大师生层面的政治动员，对教学科研成果凝练、科研平台建设、学科团队优化整合等需要长期坚持的整改任务，</w:t>
      </w:r>
      <w:r>
        <w:rPr>
          <w:rFonts w:ascii="仿宋" w:hAnsi="仿宋" w:eastAsia="仿宋" w:cs="仿宋"/>
          <w:sz w:val="32"/>
          <w:szCs w:val="32"/>
          <w:lang w:eastAsia="zh-CN"/>
        </w:rPr>
        <w:t>立足长远,常抓不懈,</w:t>
      </w:r>
      <w:r>
        <w:rPr>
          <w:rFonts w:hint="eastAsia" w:ascii="仿宋" w:hAnsi="仿宋" w:eastAsia="仿宋" w:cs="仿宋"/>
          <w:sz w:val="32"/>
          <w:szCs w:val="32"/>
          <w:lang w:eastAsia="zh-CN"/>
        </w:rPr>
        <w:t>确保整改质量和整改效果。</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严格执行“三重一大”决策制度和学院工作规则，规范内部管理，强化党务政务公开，保障教授委员会等学术组织，以及教学督导组、研究生教育督导组独立客观履行职责，及时听取党外</w:t>
      </w:r>
      <w:r>
        <w:rPr>
          <w:rFonts w:ascii="仿宋" w:hAnsi="仿宋" w:eastAsia="仿宋" w:cs="仿宋"/>
          <w:sz w:val="32"/>
          <w:szCs w:val="32"/>
          <w:lang w:eastAsia="zh-CN"/>
        </w:rPr>
        <w:t>人士</w:t>
      </w:r>
      <w:r>
        <w:rPr>
          <w:rFonts w:hint="eastAsia" w:ascii="仿宋" w:hAnsi="仿宋" w:eastAsia="仿宋" w:cs="仿宋"/>
          <w:sz w:val="32"/>
          <w:szCs w:val="32"/>
          <w:lang w:eastAsia="zh-CN"/>
        </w:rPr>
        <w:t>意见和建议，形成推动发展的强大合力。</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改进工作作风，严格执行领导干部“约法六条”“一线规则”，保证管理工作投入，强化管理干部服务意识，在办文办事办会中，克服形式主义、官僚主义问题，</w:t>
      </w:r>
      <w:r>
        <w:rPr>
          <w:rFonts w:ascii="仿宋" w:hAnsi="仿宋" w:eastAsia="仿宋" w:cs="仿宋"/>
          <w:sz w:val="32"/>
          <w:szCs w:val="32"/>
          <w:lang w:eastAsia="zh-CN"/>
        </w:rPr>
        <w:t>做好师生凝聚引导工作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二、全面加强内涵建设，推进学科特色化发展</w:t>
      </w:r>
    </w:p>
    <w:p>
      <w:pPr>
        <w:keepNext w:val="0"/>
        <w:keepLines w:val="0"/>
        <w:pageBreakBefore w:val="0"/>
        <w:widowControl w:val="0"/>
        <w:kinsoku/>
        <w:wordWrap/>
        <w:overflowPunct/>
        <w:topLinePunct w:val="0"/>
        <w:bidi w:val="0"/>
        <w:spacing w:line="580" w:lineRule="exact"/>
        <w:ind w:left="-11" w:leftChars="-5" w:firstLine="803" w:firstLineChars="25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5.加强科教融合创新。</w:t>
      </w: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积极组织国家自然基金申报，</w:t>
      </w:r>
      <w:r>
        <w:rPr>
          <w:rFonts w:ascii="仿宋" w:hAnsi="仿宋" w:eastAsia="仿宋" w:cs="仿宋"/>
          <w:sz w:val="32"/>
          <w:szCs w:val="32"/>
          <w:lang w:eastAsia="zh-CN"/>
        </w:rPr>
        <w:t>引导教师抓准熟悉领域的科研前沿，</w:t>
      </w:r>
      <w:r>
        <w:rPr>
          <w:rFonts w:hint="eastAsia" w:ascii="仿宋" w:hAnsi="仿宋" w:eastAsia="仿宋" w:cs="仿宋"/>
          <w:sz w:val="32"/>
          <w:szCs w:val="32"/>
          <w:lang w:eastAsia="zh-CN"/>
        </w:rPr>
        <w:t>凝结团队力量做好项目申报</w:t>
      </w:r>
      <w:r>
        <w:rPr>
          <w:rFonts w:ascii="仿宋" w:hAnsi="仿宋" w:eastAsia="仿宋" w:cs="仿宋"/>
          <w:sz w:val="32"/>
          <w:szCs w:val="32"/>
          <w:lang w:eastAsia="zh-CN"/>
        </w:rPr>
        <w:t>，</w:t>
      </w:r>
      <w:r>
        <w:rPr>
          <w:rFonts w:hint="eastAsia" w:ascii="仿宋" w:hAnsi="仿宋" w:eastAsia="仿宋" w:cs="仿宋"/>
          <w:sz w:val="32"/>
          <w:szCs w:val="32"/>
          <w:lang w:eastAsia="zh-CN"/>
        </w:rPr>
        <w:t>学院统筹校内外资源，帮助教师</w:t>
      </w:r>
      <w:r>
        <w:rPr>
          <w:rFonts w:ascii="仿宋" w:hAnsi="仿宋" w:eastAsia="仿宋" w:cs="仿宋"/>
          <w:sz w:val="32"/>
          <w:szCs w:val="32"/>
          <w:lang w:eastAsia="zh-CN"/>
        </w:rPr>
        <w:t>提升申请书质量</w:t>
      </w:r>
      <w:r>
        <w:rPr>
          <w:rFonts w:hint="eastAsia" w:ascii="仿宋" w:hAnsi="仿宋" w:eastAsia="仿宋" w:cs="仿宋"/>
          <w:sz w:val="32"/>
          <w:szCs w:val="32"/>
          <w:lang w:eastAsia="zh-CN"/>
        </w:rPr>
        <w:t>，争取获批数量有所上升，在重大项目和联合基金等方面有所突破。</w:t>
      </w:r>
      <w:r>
        <w:rPr>
          <w:rFonts w:hint="eastAsia" w:ascii="仿宋" w:hAnsi="仿宋" w:eastAsia="仿宋" w:cs="仿宋"/>
          <w:b/>
          <w:bCs/>
          <w:sz w:val="32"/>
          <w:szCs w:val="32"/>
          <w:lang w:eastAsia="zh-CN"/>
        </w:rPr>
        <w:t>二是</w:t>
      </w:r>
      <w:r>
        <w:rPr>
          <w:rFonts w:ascii="仿宋" w:hAnsi="仿宋" w:eastAsia="仿宋" w:cs="仿宋"/>
          <w:sz w:val="32"/>
          <w:szCs w:val="32"/>
          <w:lang w:eastAsia="zh-CN"/>
        </w:rPr>
        <w:t>科学谋划，</w:t>
      </w:r>
      <w:r>
        <w:rPr>
          <w:rFonts w:hint="eastAsia" w:ascii="仿宋" w:hAnsi="仿宋" w:eastAsia="仿宋" w:cs="仿宋"/>
          <w:sz w:val="32"/>
          <w:szCs w:val="32"/>
          <w:lang w:eastAsia="zh-CN"/>
        </w:rPr>
        <w:t>围绕旱区食品科学技术问题，组织和协调申报国家重点研发项目。</w:t>
      </w:r>
      <w:r>
        <w:rPr>
          <w:rFonts w:ascii="仿宋" w:hAnsi="仿宋" w:eastAsia="仿宋" w:cs="仿宋"/>
          <w:sz w:val="32"/>
          <w:szCs w:val="32"/>
          <w:lang w:eastAsia="zh-CN"/>
        </w:rPr>
        <w:t>积极组织</w:t>
      </w:r>
      <w:r>
        <w:rPr>
          <w:rFonts w:hint="eastAsia" w:ascii="仿宋" w:hAnsi="仿宋" w:eastAsia="仿宋" w:cs="仿宋"/>
          <w:sz w:val="32"/>
          <w:szCs w:val="32"/>
          <w:lang w:eastAsia="zh-CN"/>
        </w:rPr>
        <w:t>省部级</w:t>
      </w:r>
      <w:r>
        <w:rPr>
          <w:rFonts w:ascii="仿宋" w:hAnsi="仿宋" w:eastAsia="仿宋" w:cs="仿宋"/>
          <w:sz w:val="32"/>
          <w:szCs w:val="32"/>
          <w:lang w:eastAsia="zh-CN"/>
        </w:rPr>
        <w:t>科研平台立项申报</w:t>
      </w:r>
      <w:r>
        <w:rPr>
          <w:rFonts w:hint="eastAsia" w:ascii="仿宋" w:hAnsi="仿宋" w:eastAsia="仿宋" w:cs="仿宋"/>
          <w:sz w:val="32"/>
          <w:szCs w:val="32"/>
          <w:lang w:eastAsia="zh-CN"/>
        </w:rPr>
        <w:t>，</w:t>
      </w:r>
      <w:r>
        <w:rPr>
          <w:rFonts w:ascii="仿宋" w:hAnsi="仿宋" w:eastAsia="仿宋" w:cs="仿宋"/>
          <w:sz w:val="32"/>
          <w:szCs w:val="32"/>
          <w:lang w:eastAsia="zh-CN"/>
        </w:rPr>
        <w:t>以</w:t>
      </w:r>
      <w:r>
        <w:rPr>
          <w:rFonts w:hint="eastAsia" w:ascii="仿宋" w:hAnsi="仿宋" w:eastAsia="仿宋" w:cs="仿宋"/>
          <w:sz w:val="32"/>
          <w:szCs w:val="32"/>
          <w:lang w:eastAsia="zh-CN"/>
        </w:rPr>
        <w:t>旱区特色</w:t>
      </w:r>
      <w:r>
        <w:rPr>
          <w:rFonts w:ascii="仿宋" w:hAnsi="仿宋" w:eastAsia="仿宋" w:cs="仿宋"/>
          <w:sz w:val="32"/>
          <w:szCs w:val="32"/>
          <w:lang w:eastAsia="zh-CN"/>
        </w:rPr>
        <w:t>食品研究为重点，设立云端食品产业技术研究院</w:t>
      </w:r>
      <w:r>
        <w:rPr>
          <w:rFonts w:hint="eastAsia" w:ascii="仿宋" w:hAnsi="仿宋" w:eastAsia="仿宋" w:cs="仿宋"/>
          <w:sz w:val="32"/>
          <w:szCs w:val="32"/>
          <w:lang w:eastAsia="zh-CN"/>
        </w:rPr>
        <w:t>。</w:t>
      </w:r>
      <w:r>
        <w:rPr>
          <w:rFonts w:hint="eastAsia" w:ascii="仿宋" w:hAnsi="仿宋" w:eastAsia="仿宋" w:cs="仿宋"/>
          <w:b/>
          <w:sz w:val="32"/>
          <w:szCs w:val="32"/>
          <w:lang w:eastAsia="zh-CN"/>
        </w:rPr>
        <w:t>三是</w:t>
      </w:r>
      <w:r>
        <w:rPr>
          <w:rFonts w:ascii="仿宋" w:hAnsi="仿宋" w:eastAsia="仿宋" w:cs="仿宋"/>
          <w:sz w:val="32"/>
          <w:szCs w:val="32"/>
          <w:lang w:eastAsia="zh-CN"/>
        </w:rPr>
        <w:t>解放思想，组织专家与企业主动对接，</w:t>
      </w:r>
      <w:r>
        <w:rPr>
          <w:rFonts w:hint="eastAsia" w:ascii="仿宋" w:hAnsi="仿宋" w:eastAsia="仿宋" w:cs="仿宋"/>
          <w:sz w:val="32"/>
          <w:szCs w:val="32"/>
          <w:lang w:eastAsia="zh-CN"/>
        </w:rPr>
        <w:t>拓展西北省区科技管理部门、高校院所和企业沟通，</w:t>
      </w:r>
      <w:r>
        <w:rPr>
          <w:rFonts w:ascii="仿宋" w:hAnsi="仿宋" w:eastAsia="仿宋" w:cs="仿宋"/>
          <w:sz w:val="32"/>
          <w:szCs w:val="32"/>
          <w:lang w:eastAsia="zh-CN"/>
        </w:rPr>
        <w:t>广泛宣传推广成熟科研成果</w:t>
      </w:r>
      <w:r>
        <w:rPr>
          <w:rFonts w:hint="eastAsia" w:ascii="仿宋" w:hAnsi="仿宋" w:eastAsia="仿宋" w:cs="仿宋"/>
          <w:sz w:val="32"/>
          <w:szCs w:val="32"/>
          <w:lang w:eastAsia="zh-CN"/>
        </w:rPr>
        <w:t>，争取更多横向项目</w:t>
      </w:r>
      <w:r>
        <w:rPr>
          <w:rFonts w:ascii="仿宋" w:hAnsi="仿宋" w:eastAsia="仿宋" w:cs="仿宋"/>
          <w:sz w:val="32"/>
          <w:szCs w:val="32"/>
          <w:lang w:eastAsia="zh-CN"/>
        </w:rPr>
        <w:t>。</w:t>
      </w:r>
      <w:r>
        <w:rPr>
          <w:rFonts w:hint="eastAsia" w:ascii="仿宋" w:hAnsi="仿宋" w:eastAsia="仿宋" w:cs="仿宋"/>
          <w:b/>
          <w:sz w:val="32"/>
          <w:szCs w:val="32"/>
          <w:lang w:eastAsia="zh-CN"/>
        </w:rPr>
        <w:t>四是</w:t>
      </w:r>
      <w:r>
        <w:rPr>
          <w:rFonts w:hint="eastAsia" w:ascii="仿宋" w:hAnsi="仿宋" w:eastAsia="仿宋" w:cs="仿宋"/>
          <w:sz w:val="32"/>
          <w:szCs w:val="32"/>
          <w:lang w:eastAsia="zh-CN"/>
        </w:rPr>
        <w:t>召开</w:t>
      </w:r>
      <w:r>
        <w:rPr>
          <w:rFonts w:ascii="仿宋" w:hAnsi="仿宋" w:eastAsia="仿宋" w:cs="仿宋"/>
          <w:sz w:val="32"/>
          <w:szCs w:val="32"/>
          <w:lang w:eastAsia="zh-CN"/>
        </w:rPr>
        <w:t>陕西省食品产学研协同创新联盟第</w:t>
      </w:r>
      <w:r>
        <w:rPr>
          <w:rFonts w:hint="eastAsia" w:ascii="仿宋" w:hAnsi="仿宋" w:eastAsia="仿宋" w:cs="仿宋"/>
          <w:sz w:val="32"/>
          <w:szCs w:val="32"/>
          <w:lang w:eastAsia="zh-CN"/>
        </w:rPr>
        <w:t>二</w:t>
      </w:r>
      <w:r>
        <w:rPr>
          <w:rFonts w:ascii="仿宋" w:hAnsi="仿宋" w:eastAsia="仿宋" w:cs="仿宋"/>
          <w:sz w:val="32"/>
          <w:szCs w:val="32"/>
          <w:lang w:eastAsia="zh-CN"/>
        </w:rPr>
        <w:t>届年会，强化辐射引领，</w:t>
      </w:r>
      <w:r>
        <w:rPr>
          <w:rFonts w:hint="eastAsia" w:ascii="仿宋" w:hAnsi="仿宋" w:eastAsia="仿宋" w:cs="仿宋"/>
          <w:sz w:val="32"/>
          <w:szCs w:val="32"/>
          <w:lang w:eastAsia="zh-CN"/>
        </w:rPr>
        <w:t>与</w:t>
      </w:r>
      <w:r>
        <w:rPr>
          <w:rFonts w:ascii="仿宋" w:hAnsi="仿宋" w:eastAsia="仿宋" w:cs="仿宋"/>
          <w:sz w:val="32"/>
          <w:szCs w:val="32"/>
          <w:lang w:eastAsia="zh-CN"/>
        </w:rPr>
        <w:t>联盟成员单位</w:t>
      </w:r>
      <w:r>
        <w:rPr>
          <w:rFonts w:hint="eastAsia" w:ascii="仿宋" w:hAnsi="仿宋" w:eastAsia="仿宋" w:cs="仿宋"/>
          <w:sz w:val="32"/>
          <w:szCs w:val="32"/>
          <w:lang w:eastAsia="zh-CN"/>
        </w:rPr>
        <w:t>共同积极申报</w:t>
      </w:r>
      <w:r>
        <w:rPr>
          <w:rFonts w:ascii="仿宋" w:hAnsi="仿宋" w:eastAsia="仿宋" w:cs="仿宋"/>
          <w:sz w:val="32"/>
          <w:szCs w:val="32"/>
          <w:lang w:eastAsia="zh-CN"/>
        </w:rPr>
        <w:t>省级“四主体一联合”</w:t>
      </w:r>
      <w:r>
        <w:rPr>
          <w:rFonts w:hint="eastAsia" w:ascii="仿宋" w:hAnsi="仿宋" w:eastAsia="仿宋" w:cs="仿宋"/>
          <w:sz w:val="32"/>
          <w:szCs w:val="32"/>
          <w:lang w:eastAsia="zh-CN"/>
        </w:rPr>
        <w:t>校企联合研究中心或</w:t>
      </w:r>
      <w:r>
        <w:rPr>
          <w:rFonts w:ascii="仿宋" w:hAnsi="仿宋" w:eastAsia="仿宋" w:cs="仿宋"/>
          <w:sz w:val="32"/>
          <w:szCs w:val="32"/>
          <w:lang w:eastAsia="zh-CN"/>
        </w:rPr>
        <w:t>工程技术研究中心。</w:t>
      </w:r>
    </w:p>
    <w:p>
      <w:pPr>
        <w:keepNext w:val="0"/>
        <w:keepLines w:val="0"/>
        <w:pageBreakBefore w:val="0"/>
        <w:widowControl w:val="0"/>
        <w:kinsoku/>
        <w:wordWrap/>
        <w:overflowPunct/>
        <w:topLinePunct w:val="0"/>
        <w:bidi w:val="0"/>
        <w:spacing w:line="580" w:lineRule="exact"/>
        <w:ind w:left="-11" w:leftChars="-5"/>
        <w:textAlignment w:val="auto"/>
        <w:rPr>
          <w:rFonts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楷体" w:hAnsi="楷体" w:eastAsia="楷体" w:cs="仿宋"/>
          <w:b/>
          <w:sz w:val="32"/>
          <w:szCs w:val="32"/>
          <w:lang w:eastAsia="zh-CN"/>
        </w:rPr>
        <w:t>6.不断夯实学科基础。</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围绕学科使命，突出学科特色，进一步凝练学科方向，扩大学科优势，鼓励学科交叉融合，组建创新团队。</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对照第五轮学科评估意见，找差距，补短板，科学规划再完善高，着力推进学院“十四五”发展规划任务落实。</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以秦创原建设、现代农业全产业链发展为契机，提升与产业合作水平，着力优化创新创业生态，促进学科提升发展。</w:t>
      </w:r>
      <w:r>
        <w:rPr>
          <w:rFonts w:hint="eastAsia" w:ascii="仿宋" w:hAnsi="仿宋" w:eastAsia="仿宋" w:cs="仿宋"/>
          <w:b/>
          <w:sz w:val="32"/>
          <w:szCs w:val="32"/>
          <w:lang w:eastAsia="zh-CN"/>
        </w:rPr>
        <w:t>四是</w:t>
      </w:r>
      <w:r>
        <w:rPr>
          <w:rFonts w:hint="eastAsia" w:ascii="仿宋" w:hAnsi="仿宋" w:eastAsia="仿宋" w:cs="仿宋"/>
          <w:sz w:val="32"/>
          <w:szCs w:val="32"/>
          <w:lang w:eastAsia="zh-CN"/>
        </w:rPr>
        <w:t>积极围绕食品加工、安全、营养健康和未来食品等领域开展应用技术研究，攻克技术难关，为政府决策建言献策，提高学校、学院在社会发展中的学术影响力。</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7.推进高水平对外开放合作。</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盘活用好中外合作办学中的国际资源，</w:t>
      </w:r>
      <w:r>
        <w:rPr>
          <w:rFonts w:ascii="仿宋" w:hAnsi="仿宋" w:eastAsia="仿宋" w:cs="仿宋"/>
          <w:sz w:val="32"/>
          <w:szCs w:val="32"/>
          <w:lang w:eastAsia="zh-CN"/>
        </w:rPr>
        <w:t>加强中美双方教师间的学术交流与研讨</w:t>
      </w:r>
      <w:r>
        <w:rPr>
          <w:rFonts w:hint="eastAsia" w:ascii="仿宋" w:hAnsi="仿宋" w:eastAsia="仿宋" w:cs="仿宋"/>
          <w:sz w:val="32"/>
          <w:szCs w:val="32"/>
          <w:lang w:eastAsia="zh-CN"/>
        </w:rPr>
        <w:t>，发挥辐射带动效应，深化国际产学研用合作，积极申报相关国际合作项目。</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利用线上、线下相结合的模式，与国外高水平大学及科研机构合作，谋划推进国际学术会议的召开，为后疫情时代加强国际交流合作奠定基础。</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以营养健康专业建设为契机，高起点谋划营养与健康学科建设，积极推进与美澳德荷等国家相关研究机构的合作，筹建海外院士工作站。</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三、夯实人才工作基础，建设高质量师资队伍</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8.抓好人才队伍建设。</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创新人才工作体制机制，加强人才引进工作的投入，汇聚广大教师、海外校友在人才引进中的作用，利用线上、线下交流、论坛方式延揽人才，高质量做好师资选聘工作。</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科学制定现有人才培养的中长期发展规划，完善人才培育引进与团队、平台、项目耦合机制，加大青年人才扶持力度，形成规范有序、更具活力的人才发展环境。</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对标一流，搭建高层次学术交流平台，办好“至善讲堂” “行思论坛”和“行思青年论坛”，营造浓厚的学术交流氛围。</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9.加强师德师风建设。</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引导带动教师“以德立身、以德立学、以德施教”，做学生为人为事为学示范的“大先生”。在晋升、评聘、申报、遴选、评优等工作中严格执行师德师风“负面清单”制度。</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在评优评奖、提拔晋升、招考录取等涉及师生切身利益的工作事项，要严密工作机制，执行回避原则，确保公平公正，严防师德失范行为。</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常态化开展警示教育，严明纪律规矩、强化是非观念，坚决制止造谣生事、拉帮结派等师德师风违规行为，营造风清气正、互学互鉴、积极向上的学术生态。</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四、深化教育综合改革，提高人才培养质量</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10.落实以本为本，培养拔尖人才。</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进一步完善基层教学组织建设，推进本科课程建设。完成2019版课程质量标准审定，优化教学内容，使各专业课程之间有机衔接。组织开展报告会、观摩、研讨交流会等活动，不断提升教师教育教学能力。大力推进食品营养与健康专业建设，</w:t>
      </w:r>
      <w:r>
        <w:rPr>
          <w:rFonts w:ascii="仿宋" w:hAnsi="仿宋" w:eastAsia="仿宋" w:cs="仿宋"/>
          <w:sz w:val="32"/>
          <w:szCs w:val="32"/>
          <w:lang w:eastAsia="zh-CN"/>
        </w:rPr>
        <w:t>做好</w:t>
      </w:r>
      <w:r>
        <w:rPr>
          <w:rFonts w:hint="eastAsia" w:ascii="仿宋" w:hAnsi="仿宋" w:eastAsia="仿宋" w:cs="仿宋"/>
          <w:sz w:val="32"/>
          <w:szCs w:val="32"/>
          <w:lang w:eastAsia="zh-CN"/>
        </w:rPr>
        <w:t>2020级学生本研通道</w:t>
      </w:r>
      <w:r>
        <w:rPr>
          <w:rFonts w:ascii="仿宋" w:hAnsi="仿宋" w:eastAsia="仿宋" w:cs="仿宋"/>
          <w:sz w:val="32"/>
          <w:szCs w:val="32"/>
          <w:lang w:eastAsia="zh-CN"/>
        </w:rPr>
        <w:t>分流</w:t>
      </w:r>
      <w:r>
        <w:rPr>
          <w:rFonts w:hint="eastAsia" w:ascii="仿宋" w:hAnsi="仿宋" w:eastAsia="仿宋" w:cs="仿宋"/>
          <w:sz w:val="32"/>
          <w:szCs w:val="32"/>
          <w:lang w:eastAsia="zh-CN"/>
        </w:rPr>
        <w:t>工作。</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启动教学名师、教学团队培育计划，在教改项目、教材建设、课程改革、教学成果申报、教学团队等方面重点支持、重点培育。积极推进申报省级、国家级教学研究项目和一流课程，力争在国家级项目有所突破。</w:t>
      </w:r>
      <w:r>
        <w:rPr>
          <w:rFonts w:ascii="仿宋" w:hAnsi="仿宋" w:eastAsia="仿宋" w:cs="仿宋"/>
          <w:sz w:val="32"/>
          <w:szCs w:val="32"/>
          <w:lang w:eastAsia="zh-CN"/>
        </w:rPr>
        <w:t>凝练</w:t>
      </w:r>
      <w:r>
        <w:rPr>
          <w:rFonts w:hint="eastAsia" w:ascii="仿宋" w:hAnsi="仿宋" w:eastAsia="仿宋" w:cs="仿宋"/>
          <w:sz w:val="32"/>
          <w:szCs w:val="32"/>
          <w:lang w:eastAsia="zh-CN"/>
        </w:rPr>
        <w:t>形成</w:t>
      </w:r>
      <w:r>
        <w:rPr>
          <w:rFonts w:ascii="仿宋" w:hAnsi="仿宋" w:eastAsia="仿宋" w:cs="仿宋"/>
          <w:sz w:val="32"/>
          <w:szCs w:val="32"/>
          <w:lang w:eastAsia="zh-CN"/>
        </w:rPr>
        <w:t>省</w:t>
      </w:r>
      <w:r>
        <w:rPr>
          <w:rFonts w:hint="eastAsia" w:ascii="仿宋" w:hAnsi="仿宋" w:eastAsia="仿宋" w:cs="仿宋"/>
          <w:sz w:val="32"/>
          <w:szCs w:val="32"/>
          <w:lang w:eastAsia="zh-CN"/>
        </w:rPr>
        <w:t>部</w:t>
      </w:r>
      <w:r>
        <w:rPr>
          <w:rFonts w:ascii="仿宋" w:hAnsi="仿宋" w:eastAsia="仿宋" w:cs="仿宋"/>
          <w:sz w:val="32"/>
          <w:szCs w:val="32"/>
          <w:lang w:eastAsia="zh-CN"/>
        </w:rPr>
        <w:t>级教学成果，为下一轮</w:t>
      </w:r>
      <w:r>
        <w:rPr>
          <w:rFonts w:hint="eastAsia" w:ascii="仿宋" w:hAnsi="仿宋" w:eastAsia="仿宋" w:cs="仿宋"/>
          <w:sz w:val="32"/>
          <w:szCs w:val="32"/>
          <w:lang w:eastAsia="zh-CN"/>
        </w:rPr>
        <w:t>高水平教学成果</w:t>
      </w:r>
      <w:r>
        <w:rPr>
          <w:rFonts w:ascii="仿宋" w:hAnsi="仿宋" w:eastAsia="仿宋" w:cs="仿宋"/>
          <w:sz w:val="32"/>
          <w:szCs w:val="32"/>
          <w:lang w:eastAsia="zh-CN"/>
        </w:rPr>
        <w:t>申报</w:t>
      </w:r>
      <w:r>
        <w:rPr>
          <w:rFonts w:hint="eastAsia" w:ascii="仿宋" w:hAnsi="仿宋" w:eastAsia="仿宋" w:cs="仿宋"/>
          <w:sz w:val="32"/>
          <w:szCs w:val="32"/>
          <w:lang w:eastAsia="zh-CN"/>
        </w:rPr>
        <w:t>奠定基础。积极申报教育部现代产业学院和虚拟教研室。</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进一步</w:t>
      </w:r>
      <w:r>
        <w:rPr>
          <w:rFonts w:ascii="仿宋" w:hAnsi="仿宋" w:eastAsia="仿宋" w:cs="仿宋"/>
          <w:sz w:val="32"/>
          <w:szCs w:val="32"/>
          <w:lang w:eastAsia="zh-CN"/>
        </w:rPr>
        <w:t>完善</w:t>
      </w:r>
      <w:r>
        <w:rPr>
          <w:rFonts w:hint="eastAsia" w:ascii="仿宋" w:hAnsi="仿宋" w:eastAsia="仿宋" w:cs="仿宋"/>
          <w:sz w:val="32"/>
          <w:szCs w:val="32"/>
          <w:lang w:eastAsia="zh-CN"/>
        </w:rPr>
        <w:t>“3+1”中外合作办学项目</w:t>
      </w:r>
      <w:r>
        <w:rPr>
          <w:rFonts w:ascii="仿宋" w:hAnsi="仿宋" w:eastAsia="仿宋" w:cs="仿宋"/>
          <w:sz w:val="32"/>
          <w:szCs w:val="32"/>
          <w:lang w:eastAsia="zh-CN"/>
        </w:rPr>
        <w:t>教师培训</w:t>
      </w:r>
      <w:r>
        <w:rPr>
          <w:rFonts w:hint="eastAsia" w:ascii="仿宋" w:hAnsi="仿宋" w:eastAsia="仿宋" w:cs="仿宋"/>
          <w:sz w:val="32"/>
          <w:szCs w:val="32"/>
          <w:lang w:eastAsia="zh-CN"/>
        </w:rPr>
        <w:t>、</w:t>
      </w:r>
      <w:r>
        <w:rPr>
          <w:rFonts w:ascii="仿宋" w:hAnsi="仿宋" w:eastAsia="仿宋" w:cs="仿宋"/>
          <w:sz w:val="32"/>
          <w:szCs w:val="32"/>
          <w:lang w:eastAsia="zh-CN"/>
        </w:rPr>
        <w:t>项目管理</w:t>
      </w:r>
      <w:r>
        <w:rPr>
          <w:rFonts w:hint="eastAsia" w:ascii="仿宋" w:hAnsi="仿宋" w:eastAsia="仿宋" w:cs="仿宋"/>
          <w:sz w:val="32"/>
          <w:szCs w:val="32"/>
          <w:lang w:eastAsia="zh-CN"/>
        </w:rPr>
        <w:t>相关</w:t>
      </w:r>
      <w:r>
        <w:rPr>
          <w:rFonts w:ascii="仿宋" w:hAnsi="仿宋" w:eastAsia="仿宋" w:cs="仿宋"/>
          <w:sz w:val="32"/>
          <w:szCs w:val="32"/>
          <w:lang w:eastAsia="zh-CN"/>
        </w:rPr>
        <w:t>制度</w:t>
      </w:r>
      <w:r>
        <w:rPr>
          <w:rFonts w:hint="eastAsia" w:ascii="仿宋" w:hAnsi="仿宋" w:eastAsia="仿宋" w:cs="仿宋"/>
          <w:sz w:val="32"/>
          <w:szCs w:val="32"/>
          <w:lang w:eastAsia="zh-CN"/>
        </w:rPr>
        <w:t>。结合项目运行过程出现的问题，更新完善培养方案，调整、补充项目协议书内容，确保项目顺利进行。</w:t>
      </w:r>
    </w:p>
    <w:p>
      <w:pPr>
        <w:keepNext w:val="0"/>
        <w:keepLines w:val="0"/>
        <w:pageBreakBefore w:val="0"/>
        <w:widowControl w:val="0"/>
        <w:kinsoku/>
        <w:wordWrap/>
        <w:overflowPunct/>
        <w:topLinePunct w:val="0"/>
        <w:bidi w:val="0"/>
        <w:spacing w:line="580" w:lineRule="exact"/>
        <w:ind w:left="-11" w:leftChars="-5" w:firstLine="482" w:firstLineChars="15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11.创新管理，提升研究生招生和培养质量。</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加强研究生招生宣传力度，建立完善的激励制度，发挥教授和团队作用，利用学术报告、项目合作、校际交流等方式</w:t>
      </w:r>
      <w:r>
        <w:rPr>
          <w:rFonts w:ascii="仿宋" w:hAnsi="仿宋" w:eastAsia="仿宋" w:cs="仿宋"/>
          <w:sz w:val="32"/>
          <w:szCs w:val="32"/>
          <w:lang w:eastAsia="zh-CN"/>
        </w:rPr>
        <w:t>扩宽优秀研究生生源</w:t>
      </w:r>
      <w:r>
        <w:rPr>
          <w:rFonts w:hint="eastAsia" w:ascii="仿宋" w:hAnsi="仿宋" w:eastAsia="仿宋" w:cs="仿宋"/>
          <w:sz w:val="32"/>
          <w:szCs w:val="32"/>
          <w:lang w:eastAsia="zh-CN"/>
        </w:rPr>
        <w:t>，有效利用新媒体等宣传形式，巩固提高优质生源率。</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探索创新人才培养机制，通过研究生导师岗前、在岗培训，为导师搭建国际化交流平台等形式提升研究生导师指导研究生的能力。开展研究生课程质量教学综合评价，建立评价指标体系，激励研究生教学团队提升教学水平和质量。制定研究生课程教学质量综合评价办法，建立课程质量激励制度，提高研究生教学团队教学积极性和改革的力度。凝练研究教学成果，构建食品科学与工程学科创新人才培养模式。</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全面修订研究生培养方案，根据行业发展对人才需求，制定合理科学的课程体系。分类召开课程设置和课程教学质量专题座谈会，优化研究生课程结构，加强教学环节全过程监督，加强网络课程、全英文课程资源建设。制定学院研究生学位论文管理办法，加强研究生培养全过程中的关键链条，不断提高研究生培养质量。</w:t>
      </w:r>
      <w:r>
        <w:rPr>
          <w:rFonts w:hint="eastAsia" w:ascii="仿宋" w:hAnsi="仿宋" w:eastAsia="仿宋" w:cs="仿宋"/>
          <w:b/>
          <w:sz w:val="32"/>
          <w:szCs w:val="32"/>
          <w:lang w:eastAsia="zh-CN"/>
        </w:rPr>
        <w:t>四是</w:t>
      </w:r>
      <w:r>
        <w:rPr>
          <w:rFonts w:hint="eastAsia" w:ascii="仿宋" w:hAnsi="仿宋" w:eastAsia="仿宋" w:cs="仿宋"/>
          <w:sz w:val="32"/>
          <w:szCs w:val="32"/>
          <w:lang w:eastAsia="zh-CN"/>
        </w:rPr>
        <w:t>加强学位点内涵质量建设，开展食品科学与工程一级学科博士学位授权点预评估工作。</w:t>
      </w:r>
    </w:p>
    <w:p>
      <w:pPr>
        <w:keepNext w:val="0"/>
        <w:keepLines w:val="0"/>
        <w:pageBreakBefore w:val="0"/>
        <w:widowControl w:val="0"/>
        <w:kinsoku/>
        <w:wordWrap/>
        <w:overflowPunct/>
        <w:topLinePunct w:val="0"/>
        <w:bidi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五、加强学生思想政治教育和素质教育，促进学生全面成长</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12.弘扬伟大建党精神，开拓思政育人新实践。</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深化拓展学生“四史”教育，组织开展好优秀共青团员和优秀共产党员评选，用先进事迹激励青年，深度挖掘育人典型和做法，全面提升学院学生工作影响力。</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以右任书院党团活动室为平台，构建学生社区思想政治教育新阵地，打造学院学生工作一院一品“实验室里讲党课”，让政治理论学习和科学研究相结合，提升师生科技创新活动的质量和水平。</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通过“德育”引领、“智育”开发、“体育”建设、“美育”认知、“劳动”培养，全面提升学生综合素质。</w:t>
      </w:r>
      <w:r>
        <w:rPr>
          <w:rFonts w:hint="eastAsia" w:ascii="仿宋" w:hAnsi="仿宋" w:eastAsia="仿宋" w:cs="仿宋"/>
          <w:b/>
          <w:sz w:val="32"/>
          <w:szCs w:val="32"/>
          <w:lang w:eastAsia="zh-CN"/>
        </w:rPr>
        <w:t>四是</w:t>
      </w:r>
      <w:r>
        <w:rPr>
          <w:rFonts w:hint="eastAsia" w:ascii="仿宋" w:hAnsi="仿宋" w:eastAsia="仿宋" w:cs="仿宋"/>
          <w:sz w:val="32"/>
          <w:szCs w:val="32"/>
          <w:lang w:eastAsia="zh-CN"/>
        </w:rPr>
        <w:t>分年级开展形式多样、举措丰富的学风建设活动，将学风建设融入践行五育并举实践中，努力实现“要我学”向“我要学”的转变。</w:t>
      </w:r>
    </w:p>
    <w:p>
      <w:pPr>
        <w:keepNext w:val="0"/>
        <w:keepLines w:val="0"/>
        <w:pageBreakBefore w:val="0"/>
        <w:widowControl w:val="0"/>
        <w:kinsoku/>
        <w:wordWrap/>
        <w:overflowPunct/>
        <w:topLinePunct w:val="0"/>
        <w:autoSpaceDE w:val="0"/>
        <w:autoSpaceDN w:val="0"/>
        <w:bidi w:val="0"/>
        <w:spacing w:line="580" w:lineRule="exact"/>
        <w:ind w:firstLine="643" w:firstLineChars="200"/>
        <w:textAlignment w:val="auto"/>
        <w:rPr>
          <w:rFonts w:ascii="仿宋" w:hAnsi="仿宋" w:eastAsia="仿宋" w:cs="仿宋"/>
          <w:sz w:val="32"/>
          <w:szCs w:val="32"/>
          <w:lang w:eastAsia="zh-CN"/>
        </w:rPr>
      </w:pPr>
      <w:r>
        <w:rPr>
          <w:rFonts w:hint="eastAsia" w:ascii="黑体" w:hAnsi="黑体" w:eastAsia="黑体" w:cs="仿宋"/>
          <w:b/>
          <w:sz w:val="32"/>
          <w:szCs w:val="32"/>
          <w:lang w:eastAsia="zh-CN"/>
        </w:rPr>
        <w:t>六、完善质量管理体系，提升测试中心检验检测能力水平</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13.质检中心能力再提升。</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质检中心将持续做好政府部门委托检验检测任务，充分利用及发挥测试中心现有大型仪器设备共享平台，更好服务我校教学科研工作。</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制定、实施管理强化、岗位要求、技术提升、安全防护类培训计划，确保实验人员的能力持续满足当前和预期需要。推进人事制度改革，严格规范岗位聘任，夯实岗位责任，明确奖惩机制。</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充分调研市场检测需求，对中心实验室现有能力进行梳理，制定检测项目扩项目录，扩项工作。</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14.新品种植物保护中心探索新体系。</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完成农业农村部下发任务和社会委托测试申请品种外，积极拓展业务渠道，争取测试样品数量大幅增加。</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全面完成改中心扩建项目，做好曹新庄农场测试基地搬迁工作。</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进一步优化分中心管理体制，完善人员管理与工作评价体系，做到工作制度流畅化，工作质量评价化。</w:t>
      </w:r>
    </w:p>
    <w:p>
      <w:pPr>
        <w:keepNext w:val="0"/>
        <w:keepLines w:val="0"/>
        <w:pageBreakBefore w:val="0"/>
        <w:widowControl w:val="0"/>
        <w:kinsoku/>
        <w:wordWrap/>
        <w:overflowPunct/>
        <w:topLinePunct w:val="0"/>
        <w:autoSpaceDE w:val="0"/>
        <w:autoSpaceDN w:val="0"/>
        <w:bidi w:val="0"/>
        <w:spacing w:line="580" w:lineRule="exact"/>
        <w:ind w:firstLine="643" w:firstLineChars="200"/>
        <w:textAlignment w:val="auto"/>
        <w:rPr>
          <w:rFonts w:ascii="黑体" w:hAnsi="黑体" w:eastAsia="黑体" w:cs="仿宋"/>
          <w:b/>
          <w:sz w:val="32"/>
          <w:szCs w:val="32"/>
          <w:lang w:eastAsia="zh-CN"/>
        </w:rPr>
      </w:pPr>
      <w:r>
        <w:rPr>
          <w:rFonts w:hint="eastAsia" w:ascii="黑体" w:hAnsi="黑体" w:eastAsia="黑体" w:cs="仿宋"/>
          <w:b/>
          <w:sz w:val="32"/>
          <w:szCs w:val="32"/>
          <w:lang w:eastAsia="zh-CN"/>
        </w:rPr>
        <w:t>七、巩固党史学习教育成果，服务师生办好实事</w:t>
      </w:r>
    </w:p>
    <w:p>
      <w:pPr>
        <w:keepNext w:val="0"/>
        <w:keepLines w:val="0"/>
        <w:pageBreakBefore w:val="0"/>
        <w:widowControl w:val="0"/>
        <w:kinsoku/>
        <w:wordWrap/>
        <w:overflowPunct/>
        <w:topLinePunct w:val="0"/>
        <w:autoSpaceDE w:val="0"/>
        <w:autoSpaceDN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15.促进毕业生充分稳定就业。</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按照“六稳”“六保”要求，结合学科专业特点，充分调动院内各管理层级力量，挖掘导师、班主任、校友以及网络资源，积极收集招聘信息，加强就业指导，积极开拓以标签企业为重点的市场化岗位。</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完善学生职业生涯成长计划，构建完善大学生职业生涯规划指导体系，将就业指导前置，用好创新创业、基层就业、科研助理（小助手）、征兵等就业政策，支持灵活就业，加强职业发展教育和就业指导，保障2022届毕业生充分就业。</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开展重点群体就业帮扶，完善家校沟通机制和困难学生就业帮扶机制，强化就业指导服务，建立健全就业育人支持体系，实现高品质就业目标。</w:t>
      </w:r>
    </w:p>
    <w:p>
      <w:pPr>
        <w:keepNext w:val="0"/>
        <w:keepLines w:val="0"/>
        <w:pageBreakBefore w:val="0"/>
        <w:widowControl w:val="0"/>
        <w:kinsoku/>
        <w:wordWrap/>
        <w:overflowPunct/>
        <w:topLinePunct w:val="0"/>
        <w:bidi w:val="0"/>
        <w:spacing w:line="580" w:lineRule="exact"/>
        <w:ind w:firstLine="643" w:firstLineChars="200"/>
        <w:textAlignment w:val="auto"/>
        <w:rPr>
          <w:rFonts w:ascii="仿宋" w:hAnsi="仿宋" w:eastAsia="仿宋" w:cs="仿宋"/>
          <w:sz w:val="32"/>
          <w:szCs w:val="32"/>
          <w:lang w:eastAsia="zh-CN"/>
        </w:rPr>
      </w:pPr>
      <w:r>
        <w:rPr>
          <w:rFonts w:hint="eastAsia" w:ascii="楷体" w:hAnsi="楷体" w:eastAsia="楷体" w:cs="仿宋"/>
          <w:b/>
          <w:sz w:val="32"/>
          <w:szCs w:val="32"/>
          <w:lang w:eastAsia="zh-CN"/>
        </w:rPr>
        <w:t>16.打造和谐文明学院。</w:t>
      </w:r>
      <w:r>
        <w:rPr>
          <w:rFonts w:hint="eastAsia" w:ascii="仿宋" w:hAnsi="仿宋" w:eastAsia="仿宋" w:cs="仿宋"/>
          <w:b/>
          <w:sz w:val="32"/>
          <w:szCs w:val="32"/>
          <w:lang w:eastAsia="zh-CN"/>
        </w:rPr>
        <w:t>一是</w:t>
      </w:r>
      <w:r>
        <w:rPr>
          <w:rFonts w:hint="eastAsia" w:ascii="仿宋" w:hAnsi="仿宋" w:eastAsia="仿宋" w:cs="仿宋"/>
          <w:sz w:val="32"/>
          <w:szCs w:val="32"/>
          <w:lang w:eastAsia="zh-CN"/>
        </w:rPr>
        <w:t>坚持实践标准，做好充分的分类调研，完善细化教职工年度考核评价体系，营造崇尚创新、鼓励探索、追求卓越、宽容失败的文化氛围，为青年教师创造心无旁骛，潜心致研的良好条件和环境。</w:t>
      </w:r>
      <w:r>
        <w:rPr>
          <w:rFonts w:hint="eastAsia" w:ascii="仿宋" w:hAnsi="仿宋" w:eastAsia="仿宋" w:cs="仿宋"/>
          <w:b/>
          <w:sz w:val="32"/>
          <w:szCs w:val="32"/>
          <w:lang w:eastAsia="zh-CN"/>
        </w:rPr>
        <w:t>二是</w:t>
      </w:r>
      <w:r>
        <w:rPr>
          <w:rFonts w:hint="eastAsia" w:ascii="仿宋" w:hAnsi="仿宋" w:eastAsia="仿宋" w:cs="仿宋"/>
          <w:sz w:val="32"/>
          <w:szCs w:val="32"/>
          <w:lang w:eastAsia="zh-CN"/>
        </w:rPr>
        <w:t>党政工团按照职责分工，协同做好师生的价值引领、温暖凝聚，创新组织生活形式，丰富节庆活动，落实福利待遇，做好困难帮扶。</w:t>
      </w:r>
      <w:r>
        <w:rPr>
          <w:rFonts w:hint="eastAsia" w:ascii="仿宋" w:hAnsi="仿宋" w:eastAsia="仿宋" w:cs="仿宋"/>
          <w:b/>
          <w:sz w:val="32"/>
          <w:szCs w:val="32"/>
          <w:lang w:eastAsia="zh-CN"/>
        </w:rPr>
        <w:t>三是</w:t>
      </w:r>
      <w:r>
        <w:rPr>
          <w:rFonts w:hint="eastAsia" w:ascii="仿宋" w:hAnsi="仿宋" w:eastAsia="仿宋" w:cs="仿宋"/>
          <w:sz w:val="32"/>
          <w:szCs w:val="32"/>
          <w:lang w:eastAsia="zh-CN"/>
        </w:rPr>
        <w:t>开辟休闲交流场所，运行教工之家（暂定名）咖啡室，重启课间广播操，用好楼内公共区域，添置休闲桌椅，增加会客交流场所，逐步改善办公环境，提升职工幸福感。</w:t>
      </w:r>
    </w:p>
    <w:p>
      <w:pPr>
        <w:spacing w:line="360" w:lineRule="auto"/>
        <w:rPr>
          <w:rFonts w:hint="eastAsia" w:ascii="黑体" w:hAnsi="黑体" w:eastAsia="黑体" w:cs="黑体"/>
          <w:kern w:val="0"/>
          <w:sz w:val="32"/>
          <w:szCs w:val="32"/>
          <w:lang w:val="en-US" w:eastAsia="zh-CN"/>
        </w:rPr>
      </w:pPr>
    </w:p>
    <w:sectPr>
      <w:footerReference r:id="rId3" w:type="default"/>
      <w:footerReference r:id="rId4" w:type="even"/>
      <w:pgSz w:w="11910" w:h="16840"/>
      <w:pgMar w:top="2098" w:right="1588" w:bottom="1984" w:left="1588" w:header="720" w:footer="1020" w:gutter="0"/>
      <w:pgNumType w:fmt="numberInDash"/>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59E225-9532-44E6-BB1A-267C3E7193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embedRegular r:id="rId2" w:fontKey="{7C5DDD2F-BE60-4239-A2C8-28E7EC6C2B00}"/>
  </w:font>
  <w:font w:name="仿宋">
    <w:panose1 w:val="02010609060101010101"/>
    <w:charset w:val="86"/>
    <w:family w:val="modern"/>
    <w:pitch w:val="default"/>
    <w:sig w:usb0="800002BF" w:usb1="38CF7CFA" w:usb2="00000016" w:usb3="00000000" w:csb0="00040001" w:csb1="00000000"/>
    <w:embedRegular r:id="rId3" w:fontKey="{98495673-73D0-4B11-BF6E-A5689E8D272B}"/>
  </w:font>
  <w:font w:name="方正小标宋简体">
    <w:panose1 w:val="03000509000000000000"/>
    <w:charset w:val="86"/>
    <w:family w:val="script"/>
    <w:pitch w:val="default"/>
    <w:sig w:usb0="00000001" w:usb1="080E0000" w:usb2="00000000" w:usb3="00000000" w:csb0="00040000" w:csb1="00000000"/>
    <w:embedRegular r:id="rId4" w:fontKey="{387FB0EB-B5CA-4705-B435-62DCA56CAD9C}"/>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53" w:hanging="4153"/>
      <w:jc w:val="right"/>
      <w:rPr>
        <w:rFonts w:ascii="宋体" w:hAnsi="宋体" w:eastAsia="宋体"/>
        <w:sz w:val="24"/>
        <w:szCs w:val="24"/>
      </w:rPr>
    </w:pPr>
    <w:r>
      <w:fldChar w:fldCharType="begin"/>
    </w:r>
    <w:r>
      <w:instrText xml:space="preserve"> PAGE   \* MERGEFORMAT </w:instrText>
    </w:r>
    <w: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2 -</w:t>
    </w:r>
    <w:r>
      <w:rPr>
        <w:rFonts w:ascii="仿宋" w:hAnsi="仿宋" w:eastAsia="仿宋"/>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3"/>
    <w:rsid w:val="00002617"/>
    <w:rsid w:val="00004E08"/>
    <w:rsid w:val="000C25CA"/>
    <w:rsid w:val="001D785B"/>
    <w:rsid w:val="001F2F2E"/>
    <w:rsid w:val="002134A6"/>
    <w:rsid w:val="00234E99"/>
    <w:rsid w:val="00287655"/>
    <w:rsid w:val="002B46FE"/>
    <w:rsid w:val="00346EFF"/>
    <w:rsid w:val="00456F4B"/>
    <w:rsid w:val="004B38B2"/>
    <w:rsid w:val="005079EF"/>
    <w:rsid w:val="00532445"/>
    <w:rsid w:val="00575C77"/>
    <w:rsid w:val="005870AA"/>
    <w:rsid w:val="00590334"/>
    <w:rsid w:val="005B14C2"/>
    <w:rsid w:val="005E1900"/>
    <w:rsid w:val="0067778B"/>
    <w:rsid w:val="00687B38"/>
    <w:rsid w:val="0069338D"/>
    <w:rsid w:val="006F63B5"/>
    <w:rsid w:val="00727900"/>
    <w:rsid w:val="007A1EED"/>
    <w:rsid w:val="007B13C2"/>
    <w:rsid w:val="008C7BD0"/>
    <w:rsid w:val="008F5C6D"/>
    <w:rsid w:val="009108B9"/>
    <w:rsid w:val="00981403"/>
    <w:rsid w:val="00981C11"/>
    <w:rsid w:val="009F63B2"/>
    <w:rsid w:val="00A001BF"/>
    <w:rsid w:val="00A717B4"/>
    <w:rsid w:val="00B335E1"/>
    <w:rsid w:val="00B66092"/>
    <w:rsid w:val="00BC5C29"/>
    <w:rsid w:val="00C33B93"/>
    <w:rsid w:val="00C4515C"/>
    <w:rsid w:val="00CB4BAE"/>
    <w:rsid w:val="00CD2E30"/>
    <w:rsid w:val="00CF2E4C"/>
    <w:rsid w:val="00D43240"/>
    <w:rsid w:val="00D53C74"/>
    <w:rsid w:val="00DA32D3"/>
    <w:rsid w:val="00DF49D8"/>
    <w:rsid w:val="00ED2FDC"/>
    <w:rsid w:val="00EE6BE2"/>
    <w:rsid w:val="00F34741"/>
    <w:rsid w:val="00F456E9"/>
    <w:rsid w:val="00FC0942"/>
    <w:rsid w:val="013E4415"/>
    <w:rsid w:val="01C70170"/>
    <w:rsid w:val="022C4078"/>
    <w:rsid w:val="025304BB"/>
    <w:rsid w:val="02F74C3B"/>
    <w:rsid w:val="04545F3A"/>
    <w:rsid w:val="059442EB"/>
    <w:rsid w:val="07D13F07"/>
    <w:rsid w:val="083E3CEA"/>
    <w:rsid w:val="0AC73FF9"/>
    <w:rsid w:val="0B8B5804"/>
    <w:rsid w:val="0C893455"/>
    <w:rsid w:val="0CF21D72"/>
    <w:rsid w:val="0D483385"/>
    <w:rsid w:val="0D6C53F4"/>
    <w:rsid w:val="0DAE30C0"/>
    <w:rsid w:val="0EA2709A"/>
    <w:rsid w:val="0EE209C6"/>
    <w:rsid w:val="0F04437F"/>
    <w:rsid w:val="0F1E760F"/>
    <w:rsid w:val="0F2D12DD"/>
    <w:rsid w:val="0F6859A9"/>
    <w:rsid w:val="0F6C46C6"/>
    <w:rsid w:val="102E29FD"/>
    <w:rsid w:val="11F86286"/>
    <w:rsid w:val="12C43C57"/>
    <w:rsid w:val="12FE153B"/>
    <w:rsid w:val="1340128E"/>
    <w:rsid w:val="1450543D"/>
    <w:rsid w:val="15944C55"/>
    <w:rsid w:val="159E3DE7"/>
    <w:rsid w:val="1632642C"/>
    <w:rsid w:val="163A661A"/>
    <w:rsid w:val="17BB3FEC"/>
    <w:rsid w:val="18880088"/>
    <w:rsid w:val="18BF0009"/>
    <w:rsid w:val="196A0D30"/>
    <w:rsid w:val="1A123B61"/>
    <w:rsid w:val="1C4A1F86"/>
    <w:rsid w:val="1D6B1055"/>
    <w:rsid w:val="1F42317C"/>
    <w:rsid w:val="1F5F4009"/>
    <w:rsid w:val="202602C5"/>
    <w:rsid w:val="20DD737E"/>
    <w:rsid w:val="21784073"/>
    <w:rsid w:val="220232F3"/>
    <w:rsid w:val="24D34A71"/>
    <w:rsid w:val="254B7D77"/>
    <w:rsid w:val="25BC0382"/>
    <w:rsid w:val="260750B6"/>
    <w:rsid w:val="262827A7"/>
    <w:rsid w:val="272726D9"/>
    <w:rsid w:val="27DF7C26"/>
    <w:rsid w:val="28D731B0"/>
    <w:rsid w:val="292E3106"/>
    <w:rsid w:val="2A1A432C"/>
    <w:rsid w:val="2BC44E62"/>
    <w:rsid w:val="2C3B3812"/>
    <w:rsid w:val="2CD76AEA"/>
    <w:rsid w:val="2CDB2195"/>
    <w:rsid w:val="2D7619CB"/>
    <w:rsid w:val="2EF5689D"/>
    <w:rsid w:val="317475D3"/>
    <w:rsid w:val="31900B8E"/>
    <w:rsid w:val="31F116D8"/>
    <w:rsid w:val="32067EC6"/>
    <w:rsid w:val="34770F7D"/>
    <w:rsid w:val="35632E56"/>
    <w:rsid w:val="357E2789"/>
    <w:rsid w:val="35EB6943"/>
    <w:rsid w:val="35F36C76"/>
    <w:rsid w:val="37851810"/>
    <w:rsid w:val="38C7005D"/>
    <w:rsid w:val="38DE4505"/>
    <w:rsid w:val="39102BF5"/>
    <w:rsid w:val="39CE28ED"/>
    <w:rsid w:val="3A226955"/>
    <w:rsid w:val="3B531D0F"/>
    <w:rsid w:val="3C854EE0"/>
    <w:rsid w:val="3D892DA1"/>
    <w:rsid w:val="3DFA0A27"/>
    <w:rsid w:val="3E7477FA"/>
    <w:rsid w:val="3EB62DD7"/>
    <w:rsid w:val="4000423A"/>
    <w:rsid w:val="401A429D"/>
    <w:rsid w:val="407D5382"/>
    <w:rsid w:val="43353FED"/>
    <w:rsid w:val="434D5427"/>
    <w:rsid w:val="447558D1"/>
    <w:rsid w:val="47D80046"/>
    <w:rsid w:val="4808485F"/>
    <w:rsid w:val="48BA62D9"/>
    <w:rsid w:val="4A050091"/>
    <w:rsid w:val="4A672811"/>
    <w:rsid w:val="4AA55358"/>
    <w:rsid w:val="4B3134BB"/>
    <w:rsid w:val="4C885B67"/>
    <w:rsid w:val="4EC103B6"/>
    <w:rsid w:val="4EFE06F4"/>
    <w:rsid w:val="4F3863DF"/>
    <w:rsid w:val="4FCE5C16"/>
    <w:rsid w:val="5089250B"/>
    <w:rsid w:val="50C96194"/>
    <w:rsid w:val="51E92EC2"/>
    <w:rsid w:val="536F429D"/>
    <w:rsid w:val="537350FB"/>
    <w:rsid w:val="53AE71EF"/>
    <w:rsid w:val="53B86EDB"/>
    <w:rsid w:val="53F45CE4"/>
    <w:rsid w:val="55135F58"/>
    <w:rsid w:val="55211423"/>
    <w:rsid w:val="58631036"/>
    <w:rsid w:val="58B63638"/>
    <w:rsid w:val="58B92A24"/>
    <w:rsid w:val="5A2B4B7B"/>
    <w:rsid w:val="5A693858"/>
    <w:rsid w:val="5A6C12C3"/>
    <w:rsid w:val="5A7C2DC6"/>
    <w:rsid w:val="5AAB67E6"/>
    <w:rsid w:val="5AE4763E"/>
    <w:rsid w:val="5D344DE0"/>
    <w:rsid w:val="5DC30A82"/>
    <w:rsid w:val="5E4D22E7"/>
    <w:rsid w:val="608434E9"/>
    <w:rsid w:val="60FA1D47"/>
    <w:rsid w:val="613466CA"/>
    <w:rsid w:val="62B40030"/>
    <w:rsid w:val="62F51190"/>
    <w:rsid w:val="63882AD7"/>
    <w:rsid w:val="63EC20D5"/>
    <w:rsid w:val="64241E2B"/>
    <w:rsid w:val="64947B21"/>
    <w:rsid w:val="65DB1380"/>
    <w:rsid w:val="65F91D09"/>
    <w:rsid w:val="66FA16D8"/>
    <w:rsid w:val="672546C7"/>
    <w:rsid w:val="67DD7B18"/>
    <w:rsid w:val="68096AA0"/>
    <w:rsid w:val="68862DDF"/>
    <w:rsid w:val="69F02580"/>
    <w:rsid w:val="6A1235CF"/>
    <w:rsid w:val="6A6E6BE8"/>
    <w:rsid w:val="6AFE28E0"/>
    <w:rsid w:val="6B106133"/>
    <w:rsid w:val="6B34177C"/>
    <w:rsid w:val="6B9A7BDB"/>
    <w:rsid w:val="6E693519"/>
    <w:rsid w:val="6EEC67BA"/>
    <w:rsid w:val="6F7E1E15"/>
    <w:rsid w:val="6FA04C7A"/>
    <w:rsid w:val="706C2B4C"/>
    <w:rsid w:val="738A44E0"/>
    <w:rsid w:val="74D67179"/>
    <w:rsid w:val="75096D18"/>
    <w:rsid w:val="751701B1"/>
    <w:rsid w:val="75272FDF"/>
    <w:rsid w:val="75B408F5"/>
    <w:rsid w:val="763D5E85"/>
    <w:rsid w:val="77AE0B49"/>
    <w:rsid w:val="78110776"/>
    <w:rsid w:val="782B442F"/>
    <w:rsid w:val="787F2E4C"/>
    <w:rsid w:val="79112A51"/>
    <w:rsid w:val="79FB51F7"/>
    <w:rsid w:val="7A256A0A"/>
    <w:rsid w:val="7A4008DB"/>
    <w:rsid w:val="7AAB39AE"/>
    <w:rsid w:val="7B1F0809"/>
    <w:rsid w:val="7CDF0F6F"/>
    <w:rsid w:val="7D723BCD"/>
    <w:rsid w:val="7E48510E"/>
    <w:rsid w:val="7E7F2790"/>
    <w:rsid w:val="7F89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205"/>
    </w:pPr>
    <w:rPr>
      <w:rFonts w:ascii="黑体" w:hAnsi="黑体" w:eastAsia="黑体"/>
      <w:sz w:val="32"/>
      <w:szCs w:val="32"/>
    </w:rPr>
  </w:style>
  <w:style w:type="paragraph" w:styleId="6">
    <w:name w:val="Plain Text"/>
    <w:basedOn w:val="1"/>
    <w:link w:val="20"/>
    <w:qFormat/>
    <w:uiPriority w:val="0"/>
    <w:pPr>
      <w:jc w:val="both"/>
    </w:pPr>
    <w:rPr>
      <w:rFonts w:ascii="宋体" w:hAnsi="Courier New" w:eastAsia="宋体" w:cs="Courier New"/>
      <w:kern w:val="2"/>
      <w:sz w:val="21"/>
      <w:szCs w:val="21"/>
      <w:lang w:eastAsia="zh-CN"/>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Title"/>
    <w:basedOn w:val="1"/>
    <w:next w:val="1"/>
    <w:link w:val="25"/>
    <w:qFormat/>
    <w:uiPriority w:val="0"/>
    <w:pPr>
      <w:spacing w:before="240" w:after="60"/>
      <w:jc w:val="center"/>
      <w:outlineLvl w:val="0"/>
    </w:pPr>
    <w:rPr>
      <w:rFonts w:ascii="Calibri Light" w:hAnsi="Calibri Light" w:eastAsia="宋体"/>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3"/>
    <w:link w:val="8"/>
    <w:qFormat/>
    <w:uiPriority w:val="0"/>
    <w:rPr>
      <w:rFonts w:asciiTheme="minorHAnsi" w:hAnsiTheme="minorHAnsi" w:eastAsiaTheme="minorHAnsi" w:cstheme="minorBidi"/>
      <w:sz w:val="18"/>
      <w:szCs w:val="18"/>
      <w:lang w:eastAsia="en-US"/>
    </w:rPr>
  </w:style>
  <w:style w:type="character" w:customStyle="1" w:styleId="19">
    <w:name w:val="页脚 Char"/>
    <w:basedOn w:val="13"/>
    <w:link w:val="7"/>
    <w:qFormat/>
    <w:uiPriority w:val="0"/>
    <w:rPr>
      <w:rFonts w:asciiTheme="minorHAnsi" w:hAnsiTheme="minorHAnsi" w:eastAsiaTheme="minorHAnsi" w:cstheme="minorBidi"/>
      <w:sz w:val="18"/>
      <w:szCs w:val="18"/>
      <w:lang w:eastAsia="en-US"/>
    </w:rPr>
  </w:style>
  <w:style w:type="character" w:customStyle="1" w:styleId="20">
    <w:name w:val="纯文本 Char"/>
    <w:basedOn w:val="13"/>
    <w:link w:val="6"/>
    <w:qFormat/>
    <w:uiPriority w:val="0"/>
    <w:rPr>
      <w:rFonts w:ascii="宋体" w:hAnsi="Courier New" w:cs="Courier New"/>
      <w:kern w:val="2"/>
      <w:sz w:val="21"/>
      <w:szCs w:val="21"/>
    </w:rPr>
  </w:style>
  <w:style w:type="paragraph" w:customStyle="1" w:styleId="21">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character" w:customStyle="1" w:styleId="22">
    <w:name w:val="标题 1 Char"/>
    <w:link w:val="2"/>
    <w:qFormat/>
    <w:uiPriority w:val="0"/>
    <w:rPr>
      <w:rFonts w:hint="eastAsia" w:ascii="宋体" w:hAnsi="宋体"/>
      <w:b/>
      <w:kern w:val="44"/>
      <w:sz w:val="48"/>
      <w:szCs w:val="48"/>
    </w:rPr>
  </w:style>
  <w:style w:type="character" w:customStyle="1" w:styleId="23">
    <w:name w:val="标题 2 Char"/>
    <w:link w:val="3"/>
    <w:qFormat/>
    <w:uiPriority w:val="0"/>
    <w:rPr>
      <w:rFonts w:ascii="Arial" w:hAnsi="Arial" w:eastAsia="黑体"/>
      <w:b/>
      <w:sz w:val="32"/>
    </w:rPr>
  </w:style>
  <w:style w:type="character" w:customStyle="1" w:styleId="24">
    <w:name w:val="标题 3 Char"/>
    <w:link w:val="4"/>
    <w:qFormat/>
    <w:uiPriority w:val="0"/>
    <w:rPr>
      <w:b/>
      <w:sz w:val="32"/>
    </w:rPr>
  </w:style>
  <w:style w:type="character" w:customStyle="1" w:styleId="25">
    <w:name w:val="标题 Char"/>
    <w:link w:val="10"/>
    <w:qFormat/>
    <w:uiPriority w:val="0"/>
    <w:rPr>
      <w:rFonts w:ascii="Calibri Light" w:hAnsi="Calibri Light" w:eastAsia="宋体"/>
      <w:b/>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4B4E1-B43F-46AB-B937-9CB42B3575B4}">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892</Characters>
  <Lines>7</Lines>
  <Paragraphs>2</Paragraphs>
  <TotalTime>43</TotalTime>
  <ScaleCrop>false</ScaleCrop>
  <LinksUpToDate>false</LinksUpToDate>
  <CharactersWithSpaces>1046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2019-01-22T02:16:00Z</dcterms:created>
  <dc:creator>Administrator</dc:creator>
  <cp:lastModifiedBy>严艳</cp:lastModifiedBy>
  <cp:lastPrinted>2021-03-19T02:18:00Z</cp:lastPrinted>
  <dcterms:modified xsi:type="dcterms:W3CDTF">2022-03-23T09:50:41Z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2052-11.1.0.11365</vt:lpwstr>
  </property>
  <property fmtid="{D5CDD505-2E9C-101B-9397-08002B2CF9AE}" pid="6" name="ICV">
    <vt:lpwstr>EFC10699069A42BCB9F50BE99E154267</vt:lpwstr>
  </property>
</Properties>
</file>