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9E" w:rsidRDefault="007A0385" w:rsidP="002D3875">
      <w:pPr>
        <w:spacing w:afterLines="50" w:after="156" w:line="360" w:lineRule="auto"/>
        <w:jc w:val="center"/>
        <w:rPr>
          <w:rFonts w:ascii="黑体" w:eastAsia="黑体" w:hAnsi="Times New Roman" w:cs="Times New Roman"/>
          <w:sz w:val="40"/>
          <w:szCs w:val="40"/>
        </w:rPr>
      </w:pPr>
      <w:r w:rsidRPr="007E3775">
        <w:rPr>
          <w:rFonts w:ascii="黑体" w:eastAsia="黑体" w:hAnsi="Times New Roman" w:cs="Times New Roman"/>
          <w:sz w:val="40"/>
          <w:szCs w:val="40"/>
        </w:rPr>
        <w:t>食品学院研究生国家奖学金评定实施细则</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为深化研究生培养机制改革，提高研究生培养质量，贯彻落实《财政部、教育部关于印发＜研究生国家奖学金管理暂行办法＞的通知》</w:t>
      </w:r>
      <w:r w:rsidRPr="00AF3E5C">
        <w:rPr>
          <w:rFonts w:ascii="仿宋_GB2312" w:eastAsia="仿宋_GB2312" w:hAnsi="宋体" w:cs="仿宋_GB2312"/>
          <w:color w:val="000000" w:themeColor="text1"/>
          <w:kern w:val="0"/>
          <w:sz w:val="32"/>
          <w:szCs w:val="32"/>
        </w:rPr>
        <w:t>（</w:t>
      </w:r>
      <w:proofErr w:type="gramStart"/>
      <w:r w:rsidRPr="00AF3E5C">
        <w:rPr>
          <w:rFonts w:ascii="仿宋_GB2312" w:eastAsia="仿宋_GB2312" w:hAnsi="宋体" w:cs="仿宋_GB2312"/>
          <w:color w:val="000000" w:themeColor="text1"/>
          <w:kern w:val="0"/>
          <w:sz w:val="32"/>
          <w:szCs w:val="32"/>
        </w:rPr>
        <w:t>教财〔2012〕</w:t>
      </w:r>
      <w:proofErr w:type="gramEnd"/>
      <w:r w:rsidRPr="00AF3E5C">
        <w:rPr>
          <w:rFonts w:ascii="仿宋_GB2312" w:eastAsia="仿宋_GB2312" w:hAnsi="宋体" w:cs="仿宋_GB2312"/>
          <w:color w:val="000000" w:themeColor="text1"/>
          <w:kern w:val="0"/>
          <w:sz w:val="32"/>
          <w:szCs w:val="32"/>
        </w:rPr>
        <w:t>342号）</w:t>
      </w:r>
      <w:r w:rsidRPr="007E3775">
        <w:rPr>
          <w:rFonts w:ascii="仿宋_GB2312" w:eastAsia="仿宋_GB2312" w:hAnsi="宋体" w:cs="仿宋_GB2312"/>
          <w:kern w:val="0"/>
          <w:sz w:val="32"/>
          <w:szCs w:val="32"/>
        </w:rPr>
        <w:t>和《关于印发＜西北农林科技大学研究生国家奖学金评审办法＞的通知</w:t>
      </w:r>
      <w:r w:rsidRPr="00AF3E5C">
        <w:rPr>
          <w:rFonts w:ascii="仿宋_GB2312" w:eastAsia="仿宋_GB2312" w:hAnsi="宋体" w:cs="仿宋_GB2312"/>
          <w:kern w:val="0"/>
          <w:sz w:val="32"/>
          <w:szCs w:val="32"/>
        </w:rPr>
        <w:t>》</w:t>
      </w:r>
      <w:r w:rsidRPr="00AF3E5C">
        <w:rPr>
          <w:rFonts w:ascii="仿宋_GB2312" w:eastAsia="仿宋_GB2312" w:hAnsi="宋体" w:cs="仿宋_GB2312"/>
          <w:color w:val="000000" w:themeColor="text1"/>
          <w:kern w:val="0"/>
          <w:sz w:val="32"/>
          <w:szCs w:val="32"/>
        </w:rPr>
        <w:t>（</w:t>
      </w:r>
      <w:proofErr w:type="gramStart"/>
      <w:r w:rsidRPr="00AF3E5C">
        <w:rPr>
          <w:rFonts w:ascii="仿宋_GB2312" w:eastAsia="仿宋_GB2312" w:hAnsi="宋体" w:cs="仿宋_GB2312"/>
          <w:color w:val="000000" w:themeColor="text1"/>
          <w:kern w:val="0"/>
          <w:sz w:val="32"/>
          <w:szCs w:val="32"/>
        </w:rPr>
        <w:t>校学发</w:t>
      </w:r>
      <w:proofErr w:type="gramEnd"/>
      <w:r w:rsidRPr="00AF3E5C">
        <w:rPr>
          <w:rFonts w:ascii="仿宋_GB2312" w:eastAsia="仿宋_GB2312" w:hAnsi="宋体" w:cs="仿宋_GB2312"/>
          <w:color w:val="000000" w:themeColor="text1"/>
          <w:kern w:val="0"/>
          <w:sz w:val="32"/>
          <w:szCs w:val="32"/>
        </w:rPr>
        <w:t>〔2014〕235号）</w:t>
      </w:r>
      <w:r w:rsidRPr="007E3775">
        <w:rPr>
          <w:rFonts w:ascii="仿宋_GB2312" w:eastAsia="仿宋_GB2312" w:hAnsi="宋体" w:cs="仿宋_GB2312"/>
          <w:kern w:val="0"/>
          <w:sz w:val="32"/>
          <w:szCs w:val="32"/>
        </w:rPr>
        <w:t>，做好我院研究生国家奖学金评审工作，特制定本实施细则如下：</w:t>
      </w:r>
    </w:p>
    <w:p w:rsidR="007A0385" w:rsidRPr="007E3775" w:rsidRDefault="007A0385" w:rsidP="002C559E">
      <w:pPr>
        <w:pStyle w:val="a5"/>
        <w:spacing w:before="0" w:beforeAutospacing="0" w:afterLines="50" w:after="156" w:afterAutospacing="0" w:line="360" w:lineRule="auto"/>
        <w:jc w:val="center"/>
        <w:outlineLvl w:val="0"/>
        <w:rPr>
          <w:rFonts w:asciiTheme="minorEastAsia" w:eastAsiaTheme="minorEastAsia" w:hAnsiTheme="minorEastAsia" w:cs="Times New Roman"/>
          <w:b/>
          <w:kern w:val="15"/>
          <w:sz w:val="36"/>
          <w:szCs w:val="36"/>
        </w:rPr>
      </w:pPr>
      <w:r w:rsidRPr="007E3775">
        <w:rPr>
          <w:rFonts w:asciiTheme="minorEastAsia" w:eastAsiaTheme="minorEastAsia" w:hAnsiTheme="minorEastAsia" w:cs="Times New Roman"/>
          <w:b/>
          <w:kern w:val="15"/>
          <w:sz w:val="36"/>
          <w:szCs w:val="36"/>
        </w:rPr>
        <w:t>第一章 总 则</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第一条 研究生国家奖学金由中央财政出资设立，每年评审一次，用于奖励表现优异的全日制研究生。博士研究生国家奖学金奖励标准为每生每年3万元；硕士研究生国家奖学金奖励标准为每生每年2万元。</w:t>
      </w:r>
    </w:p>
    <w:p w:rsidR="002C559E" w:rsidRPr="007E3775" w:rsidRDefault="007A0385" w:rsidP="007E3775">
      <w:pPr>
        <w:widowControl/>
        <w:shd w:val="clear" w:color="auto" w:fill="FFFFFF"/>
        <w:spacing w:line="360" w:lineRule="auto"/>
        <w:ind w:firstLineChars="200" w:firstLine="640"/>
        <w:rPr>
          <w:rFonts w:ascii="仿宋_GB2312" w:eastAsia="仿宋_GB2312" w:hAnsi="宋体" w:cs="仿宋_GB2312"/>
          <w:color w:val="000000" w:themeColor="text1"/>
          <w:kern w:val="0"/>
          <w:sz w:val="32"/>
          <w:szCs w:val="32"/>
        </w:rPr>
      </w:pPr>
      <w:r w:rsidRPr="007E3775">
        <w:rPr>
          <w:rFonts w:ascii="仿宋_GB2312" w:eastAsia="仿宋_GB2312" w:hAnsi="宋体" w:cs="仿宋_GB2312"/>
          <w:kern w:val="0"/>
          <w:sz w:val="32"/>
          <w:szCs w:val="32"/>
        </w:rPr>
        <w:t>第二</w:t>
      </w:r>
      <w:r w:rsidRPr="007E3775">
        <w:rPr>
          <w:rFonts w:ascii="仿宋_GB2312" w:eastAsia="仿宋_GB2312" w:hAnsi="宋体" w:cs="仿宋_GB2312"/>
          <w:color w:val="000000" w:themeColor="text1"/>
          <w:kern w:val="0"/>
          <w:sz w:val="32"/>
          <w:szCs w:val="32"/>
        </w:rPr>
        <w:t>条 评选对象</w:t>
      </w:r>
    </w:p>
    <w:p w:rsidR="001830E0" w:rsidRPr="007E3775" w:rsidRDefault="001830E0"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color w:val="000000" w:themeColor="text1"/>
          <w:kern w:val="0"/>
          <w:sz w:val="32"/>
          <w:szCs w:val="32"/>
        </w:rPr>
        <w:t>（一）我院已注册非定向</w:t>
      </w:r>
      <w:r w:rsidRPr="007E3775">
        <w:rPr>
          <w:rFonts w:ascii="仿宋_GB2312" w:eastAsia="仿宋_GB2312" w:hAnsi="宋体" w:cs="仿宋_GB2312" w:hint="eastAsia"/>
          <w:kern w:val="0"/>
          <w:sz w:val="32"/>
          <w:szCs w:val="32"/>
        </w:rPr>
        <w:t>学术型研究生、非定向全日制专业学位研究生。</w:t>
      </w:r>
      <w:r w:rsidR="00244A61" w:rsidRPr="00244A61">
        <w:rPr>
          <w:rFonts w:ascii="仿宋_GB2312" w:eastAsia="仿宋_GB2312" w:hAnsi="宋体" w:cs="仿宋_GB2312" w:hint="eastAsia"/>
          <w:kern w:val="0"/>
          <w:sz w:val="32"/>
          <w:szCs w:val="32"/>
        </w:rPr>
        <w:t>博士研究生超过3年（不含3年）、学术型硕士研究生超过3年（不含3年）、专业学位研究生超过2年（不含2年），不再具备研究生国家奖学金参评资格。硕博连读生、提前攻博的博士研究生第一年，视为博士生身份参与评选。</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第三条 研究生国家奖学金的评审坚持统筹兼顾原则，对不同学历层次和培养类型实行分类评价。对学术型研究生，评审标准应偏重考察其科研创新能力和体现创新能力的科</w:t>
      </w:r>
      <w:r w:rsidRPr="007E3775">
        <w:rPr>
          <w:rFonts w:ascii="仿宋_GB2312" w:eastAsia="仿宋_GB2312" w:hAnsi="宋体" w:cs="仿宋_GB2312"/>
          <w:kern w:val="0"/>
          <w:sz w:val="32"/>
          <w:szCs w:val="32"/>
        </w:rPr>
        <w:lastRenderedPageBreak/>
        <w:t>研成果；对专业学位研究生，评审标准应偏重考察其专业实践能力和适应专业岗位的综合素质；对新入学的硕士研究生，评审标准重点考察研究生招生考试相关成绩及考核评价情况，兼顾其在本科阶段取得的能体现科研潜质的突出成绩；对新入学的博士研究生，评审标准重点考察其硕士研究生阶段取得的科研成果。</w:t>
      </w:r>
    </w:p>
    <w:p w:rsidR="007A0385" w:rsidRPr="007E3775" w:rsidRDefault="007A0385" w:rsidP="006122E6">
      <w:pPr>
        <w:pStyle w:val="a5"/>
        <w:spacing w:before="0" w:beforeAutospacing="0" w:afterLines="50" w:after="156" w:afterAutospacing="0" w:line="360" w:lineRule="auto"/>
        <w:jc w:val="center"/>
        <w:outlineLvl w:val="0"/>
        <w:rPr>
          <w:rFonts w:asciiTheme="minorEastAsia" w:eastAsiaTheme="minorEastAsia" w:hAnsiTheme="minorEastAsia" w:cs="Times New Roman"/>
          <w:b/>
          <w:kern w:val="15"/>
          <w:sz w:val="36"/>
          <w:szCs w:val="36"/>
        </w:rPr>
      </w:pPr>
      <w:r w:rsidRPr="007E3775">
        <w:rPr>
          <w:rFonts w:asciiTheme="minorEastAsia" w:eastAsiaTheme="minorEastAsia" w:hAnsiTheme="minorEastAsia" w:cs="Times New Roman"/>
          <w:b/>
          <w:kern w:val="15"/>
          <w:sz w:val="36"/>
          <w:szCs w:val="36"/>
        </w:rPr>
        <w:t>第二章 申请条件</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第四条 参评研究生国家奖学金的学生必须符合以下基本条件：</w:t>
      </w:r>
    </w:p>
    <w:p w:rsidR="007A0385" w:rsidRPr="007E3775" w:rsidRDefault="007A0385" w:rsidP="00A730D8">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（一）具有中华人民共和国国籍，热爱社会主义祖国，拥护中国共产党的领导；</w:t>
      </w:r>
    </w:p>
    <w:p w:rsidR="007A0385" w:rsidRPr="007E3775" w:rsidRDefault="007A0385" w:rsidP="00A730D8">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（二）遵守宪法和法律，遵守学校规章制度，诚实守信，道德品质优良；</w:t>
      </w:r>
    </w:p>
    <w:p w:rsidR="007A0385" w:rsidRPr="007E3775" w:rsidRDefault="007A0385" w:rsidP="00A730D8">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（三）学习成绩优异，科研能力或实践能力显著，发展潜力突出；</w:t>
      </w:r>
    </w:p>
    <w:p w:rsidR="007A0385" w:rsidRPr="007E3775" w:rsidRDefault="007A0385" w:rsidP="00A730D8">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（四）身心健康，积极参加科技创新、社会实践及社会公益活动。</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第五条 有下列行为之一者，取消其评定资格：</w:t>
      </w:r>
    </w:p>
    <w:p w:rsidR="007A0385" w:rsidRPr="007E3775" w:rsidRDefault="007A0385" w:rsidP="00AD5E63">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1、违反国家法律、校级校规受到纪律处分者；</w:t>
      </w:r>
    </w:p>
    <w:p w:rsidR="007A0385" w:rsidRPr="007E3775" w:rsidRDefault="007A0385" w:rsidP="00AD5E63">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2、参评学年课程考试不及格者；</w:t>
      </w:r>
    </w:p>
    <w:p w:rsidR="007A0385" w:rsidRPr="007E3775" w:rsidRDefault="007A0385" w:rsidP="00AD5E63">
      <w:pPr>
        <w:widowControl/>
        <w:shd w:val="clear" w:color="auto" w:fill="FFFFFF"/>
        <w:spacing w:line="360" w:lineRule="auto"/>
        <w:ind w:firstLineChars="200" w:firstLine="640"/>
        <w:jc w:val="left"/>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3、有抄袭剽窃、弄虚作假等学术不端行为经查证属实者；</w:t>
      </w:r>
    </w:p>
    <w:p w:rsidR="007A0385" w:rsidRPr="007E3775" w:rsidRDefault="007A0385" w:rsidP="00AD5E63">
      <w:pPr>
        <w:widowControl/>
        <w:shd w:val="clear" w:color="auto" w:fill="FFFFFF"/>
        <w:spacing w:line="360" w:lineRule="auto"/>
        <w:ind w:firstLineChars="200" w:firstLine="640"/>
        <w:jc w:val="left"/>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lastRenderedPageBreak/>
        <w:t>4、学籍状态处于休学、保留学籍者。</w:t>
      </w:r>
    </w:p>
    <w:p w:rsidR="007A0385" w:rsidRPr="007E3775" w:rsidRDefault="007A0385" w:rsidP="002C559E">
      <w:pPr>
        <w:pStyle w:val="a5"/>
        <w:spacing w:before="0" w:beforeAutospacing="0" w:afterLines="50" w:after="156" w:afterAutospacing="0" w:line="360" w:lineRule="auto"/>
        <w:jc w:val="center"/>
        <w:outlineLvl w:val="0"/>
        <w:rPr>
          <w:rFonts w:asciiTheme="majorEastAsia" w:eastAsiaTheme="majorEastAsia" w:hAnsiTheme="majorEastAsia" w:cs="Times New Roman"/>
          <w:b/>
          <w:kern w:val="15"/>
          <w:sz w:val="36"/>
          <w:szCs w:val="36"/>
        </w:rPr>
      </w:pPr>
      <w:r w:rsidRPr="007E3775">
        <w:rPr>
          <w:rFonts w:asciiTheme="majorEastAsia" w:eastAsiaTheme="majorEastAsia" w:hAnsiTheme="majorEastAsia" w:cs="Times New Roman"/>
          <w:b/>
          <w:kern w:val="15"/>
          <w:sz w:val="36"/>
          <w:szCs w:val="36"/>
        </w:rPr>
        <w:t>第三章 评选办法</w:t>
      </w:r>
    </w:p>
    <w:p w:rsidR="007A0385" w:rsidRDefault="007A0385" w:rsidP="007E3775">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7E3775">
        <w:rPr>
          <w:rFonts w:ascii="仿宋_GB2312" w:eastAsia="仿宋_GB2312" w:hAnsi="宋体" w:cs="仿宋_GB2312"/>
          <w:kern w:val="0"/>
          <w:sz w:val="32"/>
          <w:szCs w:val="32"/>
        </w:rPr>
        <w:t>第六条 学院成立研究生国家奖学金评审工作小组。研究生国家奖学金评审工作组由学院院长、书记、主管研究生培</w:t>
      </w:r>
      <w:r w:rsidR="00151BFD">
        <w:rPr>
          <w:rFonts w:ascii="仿宋_GB2312" w:eastAsia="仿宋_GB2312" w:hAnsi="宋体" w:cs="仿宋_GB2312"/>
          <w:kern w:val="0"/>
          <w:sz w:val="32"/>
          <w:szCs w:val="32"/>
        </w:rPr>
        <w:t>养和政治思想教育的院领导、学院学术委员会成员中的导师代表以及</w:t>
      </w:r>
      <w:r w:rsidR="00151BFD">
        <w:rPr>
          <w:rFonts w:ascii="仿宋_GB2312" w:eastAsia="仿宋_GB2312" w:hAnsi="宋体" w:cs="仿宋_GB2312" w:hint="eastAsia"/>
          <w:kern w:val="0"/>
          <w:sz w:val="32"/>
          <w:szCs w:val="32"/>
        </w:rPr>
        <w:t>教授</w:t>
      </w:r>
      <w:r w:rsidRPr="007E3775">
        <w:rPr>
          <w:rFonts w:ascii="仿宋_GB2312" w:eastAsia="仿宋_GB2312" w:hAnsi="宋体" w:cs="仿宋_GB2312"/>
          <w:kern w:val="0"/>
          <w:sz w:val="32"/>
          <w:szCs w:val="32"/>
        </w:rPr>
        <w:t>委员会秘书、研究生秘书、学生工作秘书、研究生辅导员和研究生代表共同组成，负责对参评学生德育、学业、科研部分进行审查、统计与评定。</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第七条 学院研究生国家奖学金名额按照当年学校下达指标为准，根据当年学校下达的名额，由研究生国家奖学金评审工作领导小组根据学院实际统筹分配。</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第八条 学术型研究生评选办法</w:t>
      </w:r>
    </w:p>
    <w:p w:rsidR="00135267" w:rsidRPr="007E3775" w:rsidRDefault="00135267"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学术型研究生评定由德育成绩、学业成绩、科研业绩和科研</w:t>
      </w:r>
      <w:proofErr w:type="gramStart"/>
      <w:r w:rsidRPr="007E3775">
        <w:rPr>
          <w:rFonts w:ascii="仿宋_GB2312" w:eastAsia="仿宋_GB2312" w:hAnsi="宋体" w:cs="仿宋_GB2312" w:hint="eastAsia"/>
          <w:kern w:val="0"/>
          <w:sz w:val="32"/>
          <w:szCs w:val="32"/>
        </w:rPr>
        <w:t>获奖四</w:t>
      </w:r>
      <w:proofErr w:type="gramEnd"/>
      <w:r w:rsidRPr="007E3775">
        <w:rPr>
          <w:rFonts w:ascii="仿宋_GB2312" w:eastAsia="仿宋_GB2312" w:hAnsi="宋体" w:cs="仿宋_GB2312" w:hint="eastAsia"/>
          <w:kern w:val="0"/>
          <w:sz w:val="32"/>
          <w:szCs w:val="32"/>
        </w:rPr>
        <w:t>部分成绩累加，按照分数由高到低排列，择优产生获奖者。</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（一）德育成绩</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1、导师评分：研究生德育成绩由导师根据学生个人品质修养、参与集体活动和遵守校纪校规等方面，推荐学生参与评奖，导师同意参评，得4分；</w:t>
      </w:r>
    </w:p>
    <w:p w:rsidR="00001C52" w:rsidRPr="00001C52" w:rsidRDefault="00001C52" w:rsidP="00001C52">
      <w:pPr>
        <w:widowControl/>
        <w:shd w:val="clear" w:color="auto" w:fill="FFFFFF"/>
        <w:spacing w:line="360" w:lineRule="auto"/>
        <w:ind w:firstLineChars="200" w:firstLine="640"/>
        <w:rPr>
          <w:rFonts w:ascii="仿宋_GB2312" w:eastAsia="仿宋_GB2312" w:hAnsi="宋体" w:cs="仿宋_GB2312" w:hint="eastAsia"/>
          <w:color w:val="000000" w:themeColor="text1"/>
          <w:kern w:val="0"/>
          <w:sz w:val="32"/>
          <w:szCs w:val="32"/>
        </w:rPr>
      </w:pPr>
      <w:r w:rsidRPr="00001C52">
        <w:rPr>
          <w:rFonts w:ascii="仿宋_GB2312" w:eastAsia="仿宋_GB2312" w:hAnsi="宋体" w:cs="仿宋_GB2312" w:hint="eastAsia"/>
          <w:color w:val="000000" w:themeColor="text1"/>
          <w:kern w:val="0"/>
          <w:sz w:val="32"/>
          <w:szCs w:val="32"/>
        </w:rPr>
        <w:t>2、获得荣誉加分：获得校级以上（含校级）优秀研究生、优秀研究生干部荣誉者，每项加3分，满分6分。</w:t>
      </w:r>
    </w:p>
    <w:p w:rsidR="00001C52" w:rsidRDefault="00001C52" w:rsidP="00001C52">
      <w:pPr>
        <w:widowControl/>
        <w:shd w:val="clear" w:color="auto" w:fill="FFFFFF"/>
        <w:spacing w:line="360" w:lineRule="auto"/>
        <w:ind w:firstLineChars="200" w:firstLine="640"/>
        <w:rPr>
          <w:rFonts w:ascii="仿宋_GB2312" w:eastAsia="仿宋_GB2312" w:hAnsi="宋体" w:cs="仿宋_GB2312" w:hint="eastAsia"/>
          <w:color w:val="000000" w:themeColor="text1"/>
          <w:kern w:val="0"/>
          <w:sz w:val="32"/>
          <w:szCs w:val="32"/>
        </w:rPr>
      </w:pPr>
      <w:r w:rsidRPr="00001C52">
        <w:rPr>
          <w:rFonts w:ascii="仿宋_GB2312" w:eastAsia="仿宋_GB2312" w:hAnsi="宋体" w:cs="仿宋_GB2312" w:hint="eastAsia"/>
          <w:color w:val="000000" w:themeColor="text1"/>
          <w:kern w:val="0"/>
          <w:sz w:val="32"/>
          <w:szCs w:val="32"/>
        </w:rPr>
        <w:t>3、社会活动荣誉加分：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lastRenderedPageBreak/>
        <w:t>（1）社会活动荣誉加分满分10分；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（2）各加分项目应有相关文件、证书、原件或部门证明予以证实，否则不予认可。未设奖励名次的奖项按同级别的最高等级计分。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（3）学科竞赛、文体活动若为团体，所有成员均获得该项相应名次得分；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（4）同一文体活动</w:t>
      </w:r>
      <w:proofErr w:type="gramStart"/>
      <w:r w:rsidRPr="007E3775">
        <w:rPr>
          <w:rFonts w:ascii="仿宋_GB2312" w:eastAsia="仿宋_GB2312" w:hAnsi="宋体" w:cs="仿宋_GB2312"/>
          <w:kern w:val="0"/>
          <w:sz w:val="32"/>
          <w:szCs w:val="32"/>
        </w:rPr>
        <w:t>获不同</w:t>
      </w:r>
      <w:proofErr w:type="gramEnd"/>
      <w:r w:rsidRPr="007E3775">
        <w:rPr>
          <w:rFonts w:ascii="仿宋_GB2312" w:eastAsia="仿宋_GB2312" w:hAnsi="宋体" w:cs="仿宋_GB2312"/>
          <w:kern w:val="0"/>
          <w:sz w:val="32"/>
          <w:szCs w:val="32"/>
        </w:rPr>
        <w:t>等级奖，</w:t>
      </w:r>
      <w:proofErr w:type="gramStart"/>
      <w:r w:rsidRPr="007E3775">
        <w:rPr>
          <w:rFonts w:ascii="仿宋_GB2312" w:eastAsia="仿宋_GB2312" w:hAnsi="宋体" w:cs="仿宋_GB2312"/>
          <w:kern w:val="0"/>
          <w:sz w:val="32"/>
          <w:szCs w:val="32"/>
        </w:rPr>
        <w:t>计最高</w:t>
      </w:r>
      <w:proofErr w:type="gramEnd"/>
      <w:r w:rsidRPr="007E3775">
        <w:rPr>
          <w:rFonts w:ascii="仿宋_GB2312" w:eastAsia="仿宋_GB2312" w:hAnsi="宋体" w:cs="仿宋_GB2312"/>
          <w:kern w:val="0"/>
          <w:sz w:val="32"/>
          <w:szCs w:val="32"/>
        </w:rPr>
        <w:t>分，不累加，若为不同项目，可累加；</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（5）参加研究生工作部、校团委组织的社会实践、挂职锻炼且受到表彰者获得相应加分，按课程要求参加社会实践、实习工作的，不应加分。</w:t>
      </w:r>
    </w:p>
    <w:p w:rsidR="007A0385" w:rsidRPr="007E3775" w:rsidRDefault="007A038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（6）社会活动获奖若为多人获得，加分按以下标准：获奖为2人，排名第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相应加分70%，排名第二获30%；获奖为3人，排名第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相应加分50%，排名第二获30%，排名第三获20%；获奖为4人，排名第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相应加分50%，排名第二获30%，排名第三获10%，排名第四获10%；获奖为5人，排名第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相应加分50%，排名第二获20%，排名第三获10%，排名第四获10%，排名第五获10%；获奖为6人，排名第</w:t>
      </w:r>
      <w:proofErr w:type="gramStart"/>
      <w:r w:rsidRPr="007E3775">
        <w:rPr>
          <w:rFonts w:ascii="仿宋_GB2312" w:eastAsia="仿宋_GB2312" w:hAnsi="宋体" w:cs="仿宋_GB2312"/>
          <w:kern w:val="0"/>
          <w:sz w:val="32"/>
          <w:szCs w:val="32"/>
        </w:rPr>
        <w:t>一者获</w:t>
      </w:r>
      <w:proofErr w:type="gramEnd"/>
      <w:r w:rsidRPr="007E3775">
        <w:rPr>
          <w:rFonts w:ascii="仿宋_GB2312" w:eastAsia="仿宋_GB2312" w:hAnsi="宋体" w:cs="仿宋_GB2312"/>
          <w:kern w:val="0"/>
          <w:sz w:val="32"/>
          <w:szCs w:val="32"/>
        </w:rPr>
        <w:t>相应加分40%，排名第二获20%，排名第三获10%，排名第四获10%，排名第五获10%，排名第六获10%。</w:t>
      </w:r>
    </w:p>
    <w:p w:rsidR="002D3875" w:rsidRPr="00AF3E5C" w:rsidRDefault="001D58F6" w:rsidP="00AF3E5C">
      <w:pPr>
        <w:widowControl/>
        <w:shd w:val="clear" w:color="auto" w:fill="FFFFFF"/>
        <w:spacing w:line="360" w:lineRule="auto"/>
        <w:rPr>
          <w:rFonts w:ascii="仿宋_GB2312" w:eastAsia="仿宋_GB2312" w:hAnsi="宋体" w:cs="仿宋_GB2312"/>
          <w:color w:val="FF0000"/>
          <w:kern w:val="0"/>
          <w:sz w:val="32"/>
          <w:szCs w:val="32"/>
        </w:rPr>
      </w:pPr>
      <w:r w:rsidRPr="00AF3E5C">
        <w:rPr>
          <w:rFonts w:ascii="仿宋_GB2312" w:eastAsia="仿宋_GB2312" w:hAnsi="宋体" w:cs="仿宋_GB2312" w:hint="eastAsia"/>
          <w:color w:val="000000" w:themeColor="text1"/>
          <w:kern w:val="0"/>
          <w:sz w:val="32"/>
          <w:szCs w:val="32"/>
        </w:rPr>
        <w:t>活动项目</w:t>
      </w:r>
      <w:r w:rsidR="00A97598" w:rsidRPr="00AF3E5C">
        <w:rPr>
          <w:rFonts w:ascii="仿宋_GB2312" w:eastAsia="仿宋_GB2312" w:hAnsi="宋体" w:cs="仿宋_GB2312" w:hint="eastAsia"/>
          <w:color w:val="000000" w:themeColor="text1"/>
          <w:kern w:val="0"/>
          <w:sz w:val="32"/>
          <w:szCs w:val="32"/>
        </w:rPr>
        <w:t>计分标准</w:t>
      </w:r>
      <w:r w:rsidR="00CC70B2" w:rsidRPr="00AF3E5C">
        <w:rPr>
          <w:rFonts w:ascii="仿宋_GB2312" w:eastAsia="仿宋_GB2312" w:hAnsi="宋体" w:cs="仿宋_GB2312" w:hint="eastAsia"/>
          <w:color w:val="000000" w:themeColor="text1"/>
          <w:kern w:val="0"/>
          <w:sz w:val="32"/>
          <w:szCs w:val="32"/>
        </w:rPr>
        <w:t>见表</w:t>
      </w:r>
      <w:r w:rsidR="00C5243E" w:rsidRPr="00AF3E5C">
        <w:rPr>
          <w:rFonts w:ascii="仿宋_GB2312" w:eastAsia="仿宋_GB2312" w:hAnsi="宋体" w:cs="仿宋_GB2312" w:hint="eastAsia"/>
          <w:color w:val="000000" w:themeColor="text1"/>
          <w:kern w:val="0"/>
          <w:sz w:val="32"/>
          <w:szCs w:val="32"/>
        </w:rPr>
        <w:t>1</w:t>
      </w:r>
      <w:r w:rsidR="00AF3E5C">
        <w:rPr>
          <w:rFonts w:ascii="仿宋_GB2312" w:eastAsia="仿宋_GB2312" w:hAnsi="宋体" w:cs="仿宋_GB2312" w:hint="eastAsia"/>
          <w:color w:val="000000" w:themeColor="text1"/>
          <w:kern w:val="0"/>
          <w:sz w:val="32"/>
          <w:szCs w:val="32"/>
        </w:rPr>
        <w:t>。</w:t>
      </w:r>
      <w:r w:rsidR="00AF3E5C" w:rsidRPr="00AF3E5C">
        <w:rPr>
          <w:rFonts w:ascii="仿宋_GB2312" w:eastAsia="仿宋_GB2312" w:hAnsi="宋体" w:cs="仿宋_GB2312" w:hint="eastAsia"/>
          <w:color w:val="FF0000"/>
          <w:kern w:val="0"/>
          <w:sz w:val="32"/>
          <w:szCs w:val="32"/>
        </w:rPr>
        <w:t xml:space="preserve"> </w:t>
      </w:r>
    </w:p>
    <w:p w:rsidR="007A0385" w:rsidRPr="007E3775" w:rsidRDefault="00CC70B2" w:rsidP="007E3775">
      <w:pPr>
        <w:widowControl/>
        <w:shd w:val="clear" w:color="auto" w:fill="FFFFFF"/>
        <w:spacing w:line="360" w:lineRule="auto"/>
        <w:ind w:firstLineChars="200" w:firstLine="482"/>
        <w:jc w:val="center"/>
        <w:rPr>
          <w:rFonts w:ascii="仿宋_GB2312" w:eastAsia="仿宋_GB2312" w:hAnsi="宋体" w:cs="仿宋_GB2312"/>
          <w:b/>
          <w:kern w:val="0"/>
          <w:sz w:val="24"/>
          <w:szCs w:val="24"/>
        </w:rPr>
      </w:pPr>
      <w:r w:rsidRPr="007E3775">
        <w:rPr>
          <w:rFonts w:ascii="仿宋_GB2312" w:eastAsia="仿宋_GB2312" w:hAnsi="宋体" w:cs="仿宋_GB2312" w:hint="eastAsia"/>
          <w:b/>
          <w:kern w:val="0"/>
          <w:sz w:val="24"/>
          <w:szCs w:val="24"/>
        </w:rPr>
        <w:t xml:space="preserve">表1 </w:t>
      </w:r>
      <w:r w:rsidR="007A0385" w:rsidRPr="007E3775">
        <w:rPr>
          <w:rFonts w:ascii="仿宋_GB2312" w:eastAsia="仿宋_GB2312" w:hAnsi="宋体" w:cs="仿宋_GB2312"/>
          <w:b/>
          <w:kern w:val="0"/>
          <w:sz w:val="24"/>
          <w:szCs w:val="24"/>
        </w:rPr>
        <w:t>社会活动获奖计分标准</w:t>
      </w:r>
    </w:p>
    <w:tbl>
      <w:tblPr>
        <w:tblW w:w="0" w:type="auto"/>
        <w:jc w:val="center"/>
        <w:tblLayout w:type="fixed"/>
        <w:tblLook w:val="0000" w:firstRow="0" w:lastRow="0" w:firstColumn="0" w:lastColumn="0" w:noHBand="0" w:noVBand="0"/>
      </w:tblPr>
      <w:tblGrid>
        <w:gridCol w:w="1454"/>
        <w:gridCol w:w="1454"/>
        <w:gridCol w:w="1454"/>
        <w:gridCol w:w="1454"/>
        <w:gridCol w:w="1454"/>
        <w:gridCol w:w="1454"/>
      </w:tblGrid>
      <w:tr w:rsidR="001B5E9E" w:rsidRPr="007E3775" w:rsidTr="00CA1CFB">
        <w:trPr>
          <w:trHeight w:val="483"/>
          <w:jc w:val="center"/>
        </w:trPr>
        <w:tc>
          <w:tcPr>
            <w:tcW w:w="1454" w:type="dxa"/>
            <w:tcBorders>
              <w:top w:val="single" w:sz="4" w:space="0" w:color="auto"/>
              <w:left w:val="single" w:sz="4" w:space="0" w:color="auto"/>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lastRenderedPageBreak/>
              <w:t xml:space="preserve">　</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排序</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等级</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学科竞赛</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文体活动</w:t>
            </w:r>
          </w:p>
        </w:tc>
        <w:tc>
          <w:tcPr>
            <w:tcW w:w="1454" w:type="dxa"/>
            <w:tcBorders>
              <w:top w:val="single" w:sz="4" w:space="0" w:color="auto"/>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社会实践</w:t>
            </w:r>
          </w:p>
        </w:tc>
      </w:tr>
      <w:tr w:rsidR="001B5E9E" w:rsidRPr="007E3775" w:rsidTr="00CA1CFB">
        <w:trPr>
          <w:trHeight w:val="483"/>
          <w:jc w:val="center"/>
        </w:trPr>
        <w:tc>
          <w:tcPr>
            <w:tcW w:w="1454" w:type="dxa"/>
            <w:vMerge w:val="restart"/>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国家级</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一等奖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7</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7</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7</w:t>
            </w:r>
          </w:p>
        </w:tc>
      </w:tr>
      <w:tr w:rsidR="001B5E9E" w:rsidRPr="007E3775" w:rsidTr="00CA1CFB">
        <w:trPr>
          <w:trHeight w:val="483"/>
          <w:jc w:val="center"/>
        </w:trPr>
        <w:tc>
          <w:tcPr>
            <w:tcW w:w="1454" w:type="dxa"/>
            <w:vMerge/>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二等奖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6</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6</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6</w:t>
            </w:r>
          </w:p>
        </w:tc>
      </w:tr>
      <w:tr w:rsidR="001B5E9E" w:rsidRPr="007E3775" w:rsidTr="00CA1CFB">
        <w:trPr>
          <w:trHeight w:val="483"/>
          <w:jc w:val="center"/>
        </w:trPr>
        <w:tc>
          <w:tcPr>
            <w:tcW w:w="1454" w:type="dxa"/>
            <w:vMerge/>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三等奖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r>
      <w:tr w:rsidR="001B5E9E" w:rsidRPr="007E3775" w:rsidTr="00CA1CFB">
        <w:trPr>
          <w:trHeight w:val="483"/>
          <w:jc w:val="center"/>
        </w:trPr>
        <w:tc>
          <w:tcPr>
            <w:tcW w:w="1454" w:type="dxa"/>
            <w:vMerge w:val="restart"/>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省部级</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一等奖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5</w:t>
            </w:r>
          </w:p>
        </w:tc>
      </w:tr>
      <w:tr w:rsidR="001B5E9E" w:rsidRPr="007E3775" w:rsidTr="00CA1CFB">
        <w:trPr>
          <w:trHeight w:val="483"/>
          <w:jc w:val="center"/>
        </w:trPr>
        <w:tc>
          <w:tcPr>
            <w:tcW w:w="1454" w:type="dxa"/>
            <w:vMerge/>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二等奖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p>
        </w:tc>
      </w:tr>
      <w:tr w:rsidR="001B5E9E" w:rsidRPr="007E3775" w:rsidTr="00CA1CFB">
        <w:trPr>
          <w:trHeight w:val="483"/>
          <w:jc w:val="center"/>
        </w:trPr>
        <w:tc>
          <w:tcPr>
            <w:tcW w:w="1454" w:type="dxa"/>
            <w:vMerge/>
            <w:tcBorders>
              <w:top w:val="nil"/>
              <w:left w:val="single" w:sz="4" w:space="0" w:color="auto"/>
              <w:bottom w:val="single" w:sz="4" w:space="0" w:color="auto"/>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三等奖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r>
      <w:tr w:rsidR="001B5E9E" w:rsidRPr="007E3775" w:rsidTr="00CA1CFB">
        <w:trPr>
          <w:trHeight w:val="483"/>
          <w:jc w:val="center"/>
        </w:trPr>
        <w:tc>
          <w:tcPr>
            <w:tcW w:w="1454" w:type="dxa"/>
            <w:vMerge w:val="restart"/>
            <w:tcBorders>
              <w:top w:val="nil"/>
              <w:left w:val="single" w:sz="4" w:space="0" w:color="auto"/>
              <w:bottom w:val="single" w:sz="4" w:space="0" w:color="000000"/>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校级及</w:t>
            </w:r>
          </w:p>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地方级</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一等奖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3</w:t>
            </w:r>
          </w:p>
        </w:tc>
      </w:tr>
      <w:tr w:rsidR="001B5E9E" w:rsidRPr="007E3775" w:rsidTr="00CA1CFB">
        <w:trPr>
          <w:trHeight w:val="483"/>
          <w:jc w:val="center"/>
        </w:trPr>
        <w:tc>
          <w:tcPr>
            <w:tcW w:w="1454" w:type="dxa"/>
            <w:vMerge/>
            <w:tcBorders>
              <w:top w:val="nil"/>
              <w:left w:val="single" w:sz="4" w:space="0" w:color="auto"/>
              <w:bottom w:val="single" w:sz="4" w:space="0" w:color="000000"/>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3</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二等奖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2</w:t>
            </w:r>
          </w:p>
        </w:tc>
      </w:tr>
      <w:tr w:rsidR="001B5E9E" w:rsidRPr="007E3775" w:rsidTr="00CA1CFB">
        <w:trPr>
          <w:trHeight w:val="483"/>
          <w:jc w:val="center"/>
        </w:trPr>
        <w:tc>
          <w:tcPr>
            <w:tcW w:w="1454" w:type="dxa"/>
            <w:vMerge/>
            <w:tcBorders>
              <w:top w:val="nil"/>
              <w:left w:val="single" w:sz="4" w:space="0" w:color="auto"/>
              <w:bottom w:val="single" w:sz="4" w:space="0" w:color="000000"/>
              <w:right w:val="single" w:sz="4" w:space="0" w:color="auto"/>
            </w:tcBorders>
            <w:vAlign w:val="center"/>
          </w:tcPr>
          <w:p w:rsidR="001B5E9E" w:rsidRPr="00B10C44" w:rsidRDefault="001B5E9E" w:rsidP="001B5E9E">
            <w:pPr>
              <w:widowControl/>
              <w:jc w:val="left"/>
              <w:rPr>
                <w:rFonts w:asciiTheme="minorEastAsia" w:hAnsiTheme="minorEastAsia" w:cs="Times New Roman"/>
                <w:kern w:val="0"/>
                <w:sz w:val="24"/>
                <w:szCs w:val="24"/>
              </w:rPr>
            </w:pP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4</w:t>
            </w:r>
            <w:r w:rsidRPr="00B10C44">
              <w:rPr>
                <w:rFonts w:asciiTheme="minorEastAsia" w:hAnsiTheme="minorEastAsia" w:cs="Times New Roman" w:hint="eastAsia"/>
                <w:kern w:val="0"/>
                <w:sz w:val="24"/>
                <w:szCs w:val="24"/>
              </w:rPr>
              <w:t>、</w:t>
            </w:r>
            <w:r w:rsidRPr="00B10C44">
              <w:rPr>
                <w:rFonts w:asciiTheme="minorEastAsia" w:hAnsiTheme="minorEastAsia" w:cs="Times New Roman"/>
                <w:kern w:val="0"/>
                <w:sz w:val="24"/>
                <w:szCs w:val="24"/>
              </w:rPr>
              <w:t>5</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hint="eastAsia"/>
                <w:kern w:val="0"/>
                <w:sz w:val="24"/>
                <w:szCs w:val="24"/>
              </w:rPr>
              <w:t>三等奖</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c>
          <w:tcPr>
            <w:tcW w:w="1454" w:type="dxa"/>
            <w:tcBorders>
              <w:top w:val="nil"/>
              <w:left w:val="nil"/>
              <w:bottom w:val="single" w:sz="4" w:space="0" w:color="auto"/>
              <w:right w:val="single" w:sz="4" w:space="0" w:color="auto"/>
            </w:tcBorders>
            <w:vAlign w:val="center"/>
          </w:tcPr>
          <w:p w:rsidR="001B5E9E" w:rsidRPr="00B10C44" w:rsidRDefault="001B5E9E" w:rsidP="001B5E9E">
            <w:pPr>
              <w:widowControl/>
              <w:jc w:val="center"/>
              <w:rPr>
                <w:rFonts w:asciiTheme="minorEastAsia" w:hAnsiTheme="minorEastAsia" w:cs="Times New Roman"/>
                <w:kern w:val="0"/>
                <w:sz w:val="24"/>
                <w:szCs w:val="24"/>
              </w:rPr>
            </w:pPr>
            <w:r w:rsidRPr="00B10C44">
              <w:rPr>
                <w:rFonts w:asciiTheme="minorEastAsia" w:hAnsiTheme="minorEastAsia" w:cs="Times New Roman"/>
                <w:kern w:val="0"/>
                <w:sz w:val="24"/>
                <w:szCs w:val="24"/>
              </w:rPr>
              <w:t>1</w:t>
            </w:r>
          </w:p>
        </w:tc>
      </w:tr>
    </w:tbl>
    <w:p w:rsidR="00097A45" w:rsidRPr="002D3875" w:rsidRDefault="00097A45" w:rsidP="001B5E9E">
      <w:pPr>
        <w:widowControl/>
        <w:shd w:val="clear" w:color="auto" w:fill="FFFFFF"/>
        <w:spacing w:line="360" w:lineRule="auto"/>
        <w:ind w:firstLineChars="196" w:firstLine="470"/>
        <w:rPr>
          <w:rFonts w:ascii="仿宋_GB2312" w:eastAsia="仿宋_GB2312" w:hAnsi="宋体" w:cs="仿宋_GB2312"/>
          <w:kern w:val="0"/>
          <w:sz w:val="24"/>
          <w:szCs w:val="24"/>
        </w:rPr>
      </w:pPr>
      <w:r w:rsidRPr="002D3875">
        <w:rPr>
          <w:rFonts w:ascii="仿宋_GB2312" w:eastAsia="仿宋_GB2312" w:hAnsi="宋体" w:cs="仿宋_GB2312" w:hint="eastAsia"/>
          <w:kern w:val="0"/>
          <w:sz w:val="24"/>
          <w:szCs w:val="24"/>
        </w:rPr>
        <w:t>注：荣誉加分中所有加分荣誉均应在相应学历层次内获得。</w:t>
      </w:r>
    </w:p>
    <w:p w:rsidR="00583DBE" w:rsidRPr="007E3775" w:rsidRDefault="004C51A4" w:rsidP="00055968">
      <w:pPr>
        <w:widowControl/>
        <w:shd w:val="clear" w:color="auto" w:fill="FFFFFF"/>
        <w:spacing w:line="360" w:lineRule="auto"/>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（二）学业成绩</w:t>
      </w:r>
    </w:p>
    <w:p w:rsidR="00B64C91" w:rsidRPr="00AF3E5C" w:rsidRDefault="00B64C91" w:rsidP="00B64C91">
      <w:pPr>
        <w:widowControl/>
        <w:shd w:val="clear" w:color="auto" w:fill="FFFFFF"/>
        <w:spacing w:line="360" w:lineRule="auto"/>
        <w:rPr>
          <w:rFonts w:ascii="仿宋_GB2312" w:eastAsia="仿宋_GB2312" w:hAnsi="宋体" w:cs="仿宋_GB2312"/>
          <w:color w:val="000000" w:themeColor="text1"/>
          <w:kern w:val="0"/>
          <w:sz w:val="32"/>
          <w:szCs w:val="32"/>
        </w:rPr>
      </w:pPr>
      <w:r w:rsidRPr="00AF3E5C">
        <w:rPr>
          <w:rFonts w:ascii="仿宋_GB2312" w:eastAsia="仿宋_GB2312" w:hAnsi="宋体" w:cs="仿宋_GB2312" w:hint="eastAsia"/>
          <w:color w:val="000000" w:themeColor="text1"/>
          <w:kern w:val="0"/>
          <w:sz w:val="32"/>
          <w:szCs w:val="32"/>
        </w:rPr>
        <w:t>学业成绩</w:t>
      </w:r>
      <w:r w:rsidR="004C51A4">
        <w:rPr>
          <w:rFonts w:ascii="仿宋_GB2312" w:eastAsia="仿宋_GB2312" w:hAnsi="宋体" w:cs="仿宋_GB2312" w:hint="eastAsia"/>
          <w:color w:val="000000" w:themeColor="text1"/>
          <w:kern w:val="0"/>
          <w:sz w:val="32"/>
          <w:szCs w:val="32"/>
        </w:rPr>
        <w:t>为</w:t>
      </w:r>
      <w:r w:rsidR="00AF3E5C" w:rsidRPr="00AF3E5C">
        <w:rPr>
          <w:rFonts w:ascii="仿宋_GB2312" w:eastAsia="仿宋_GB2312" w:hAnsi="宋体" w:cs="仿宋_GB2312" w:hint="eastAsia"/>
          <w:color w:val="000000" w:themeColor="text1"/>
          <w:kern w:val="0"/>
          <w:sz w:val="32"/>
          <w:szCs w:val="32"/>
        </w:rPr>
        <w:t>整体加权平均分</w:t>
      </w:r>
    </w:p>
    <w:p w:rsidR="00583DBE" w:rsidRPr="007E3775" w:rsidRDefault="00097A45" w:rsidP="00055968">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（三）科研业绩</w:t>
      </w:r>
    </w:p>
    <w:p w:rsidR="00097A45" w:rsidRPr="007E3775" w:rsidRDefault="00097A45" w:rsidP="00716A6B">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科研成果分=科研论文分+发明专利分</w:t>
      </w:r>
    </w:p>
    <w:p w:rsidR="00097A45" w:rsidRPr="007E3775" w:rsidRDefault="00097A45" w:rsidP="00716A6B">
      <w:pPr>
        <w:widowControl/>
        <w:shd w:val="clear" w:color="auto" w:fill="FFFFFF"/>
        <w:spacing w:line="360" w:lineRule="auto"/>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式中：1、科研论文</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（1）参与评定的所有科研论文，学生本人须是第一作者、第一署名单位是西北农林科技大学；</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（2）所有参评的科研论文须提供标注DOI编号的论文原件，发表于国内期刊的论文必须见刊；</w:t>
      </w:r>
    </w:p>
    <w:p w:rsidR="007A038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（3）SCI收录论文影响因子以发表年份最近的影响因子计算；</w:t>
      </w:r>
    </w:p>
    <w:p w:rsidR="00B10C44" w:rsidRPr="00B10C44" w:rsidRDefault="00097A45" w:rsidP="00B10C44">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（4）论文计分标准见表</w:t>
      </w:r>
      <w:r w:rsidR="006D440C" w:rsidRPr="007E3775">
        <w:rPr>
          <w:rFonts w:ascii="仿宋_GB2312" w:eastAsia="仿宋_GB2312" w:hAnsi="宋体" w:cs="仿宋_GB2312" w:hint="eastAsia"/>
          <w:kern w:val="0"/>
          <w:sz w:val="32"/>
          <w:szCs w:val="32"/>
        </w:rPr>
        <w:t>2</w:t>
      </w:r>
      <w:r w:rsidR="004D1D1C" w:rsidRPr="007E3775">
        <w:rPr>
          <w:rFonts w:ascii="仿宋_GB2312" w:eastAsia="仿宋_GB2312" w:hAnsi="宋体" w:cs="仿宋_GB2312" w:hint="eastAsia"/>
          <w:kern w:val="0"/>
          <w:sz w:val="32"/>
          <w:szCs w:val="32"/>
        </w:rPr>
        <w:t>。</w:t>
      </w:r>
    </w:p>
    <w:p w:rsidR="006D440C" w:rsidRPr="00B10C44" w:rsidRDefault="006D440C" w:rsidP="00B10C44">
      <w:pPr>
        <w:widowControl/>
        <w:shd w:val="clear" w:color="auto" w:fill="FFFFFF"/>
        <w:spacing w:line="360" w:lineRule="auto"/>
        <w:ind w:firstLineChars="200" w:firstLine="482"/>
        <w:jc w:val="center"/>
        <w:rPr>
          <w:rFonts w:ascii="仿宋_GB2312" w:eastAsia="仿宋_GB2312" w:hAnsi="宋体" w:cs="仿宋_GB2312"/>
          <w:b/>
          <w:kern w:val="0"/>
          <w:sz w:val="24"/>
          <w:szCs w:val="24"/>
        </w:rPr>
      </w:pPr>
      <w:r w:rsidRPr="00B10C44">
        <w:rPr>
          <w:rFonts w:ascii="仿宋_GB2312" w:eastAsia="仿宋_GB2312" w:hAnsi="宋体" w:cs="仿宋_GB2312" w:hint="eastAsia"/>
          <w:b/>
          <w:kern w:val="0"/>
          <w:sz w:val="24"/>
          <w:szCs w:val="24"/>
        </w:rPr>
        <w:t>表2</w:t>
      </w:r>
      <w:r w:rsidR="007B6E06" w:rsidRPr="007B6E06">
        <w:rPr>
          <w:rFonts w:ascii="仿宋_GB2312" w:eastAsia="仿宋_GB2312" w:hAnsi="宋体" w:cs="仿宋_GB2312" w:hint="eastAsia"/>
          <w:b/>
          <w:kern w:val="0"/>
          <w:sz w:val="24"/>
          <w:szCs w:val="24"/>
        </w:rPr>
        <w:t>申请研究生国家奖学金科研论文分计分标准</w:t>
      </w:r>
    </w:p>
    <w:tbl>
      <w:tblPr>
        <w:tblStyle w:val="a6"/>
        <w:tblW w:w="0" w:type="auto"/>
        <w:tblLook w:val="04A0" w:firstRow="1" w:lastRow="0" w:firstColumn="1" w:lastColumn="0" w:noHBand="0" w:noVBand="1"/>
      </w:tblPr>
      <w:tblGrid>
        <w:gridCol w:w="4261"/>
        <w:gridCol w:w="4261"/>
      </w:tblGrid>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hint="eastAsia"/>
                <w:kern w:val="0"/>
                <w:sz w:val="28"/>
                <w:szCs w:val="28"/>
              </w:rPr>
              <w:lastRenderedPageBreak/>
              <w:t>发表刊物</w:t>
            </w:r>
          </w:p>
        </w:tc>
        <w:tc>
          <w:tcPr>
            <w:tcW w:w="4261" w:type="dxa"/>
            <w:vAlign w:val="center"/>
          </w:tcPr>
          <w:p w:rsidR="00097A45" w:rsidRPr="00AF3E5C" w:rsidRDefault="00097A45"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sidRPr="00AF3E5C">
              <w:rPr>
                <w:rFonts w:asciiTheme="minorEastAsia" w:hAnsiTheme="minorEastAsia" w:cs="仿宋_GB2312" w:hint="eastAsia"/>
                <w:color w:val="000000" w:themeColor="text1"/>
                <w:kern w:val="0"/>
                <w:sz w:val="28"/>
                <w:szCs w:val="28"/>
              </w:rPr>
              <w:t>加分</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hint="eastAsia"/>
                <w:kern w:val="0"/>
                <w:sz w:val="28"/>
                <w:szCs w:val="28"/>
              </w:rPr>
              <w:t>SCI论文（Ⅰ区）</w:t>
            </w:r>
          </w:p>
        </w:tc>
        <w:tc>
          <w:tcPr>
            <w:tcW w:w="4261" w:type="dxa"/>
            <w:vAlign w:val="center"/>
          </w:tcPr>
          <w:p w:rsidR="00097A45" w:rsidRPr="00AF3E5C" w:rsidRDefault="00AF3E5C"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Pr>
                <w:rFonts w:asciiTheme="minorEastAsia" w:hAnsiTheme="minorEastAsia" w:cs="仿宋_GB2312" w:hint="eastAsia"/>
                <w:color w:val="000000" w:themeColor="text1"/>
                <w:kern w:val="0"/>
                <w:sz w:val="28"/>
                <w:szCs w:val="28"/>
              </w:rPr>
              <w:t>100+(IF*</w:t>
            </w:r>
            <w:r w:rsidR="00EA62EF" w:rsidRPr="00AF3E5C">
              <w:rPr>
                <w:rFonts w:asciiTheme="minorEastAsia" w:hAnsiTheme="minorEastAsia" w:cs="仿宋_GB2312" w:hint="eastAsia"/>
                <w:color w:val="000000" w:themeColor="text1"/>
                <w:kern w:val="0"/>
                <w:sz w:val="28"/>
                <w:szCs w:val="28"/>
              </w:rPr>
              <w:t>5</w:t>
            </w:r>
            <w:r w:rsidR="00027D1E" w:rsidRPr="00AF3E5C">
              <w:rPr>
                <w:rFonts w:asciiTheme="minorEastAsia" w:hAnsiTheme="minorEastAsia" w:cs="仿宋_GB2312" w:hint="eastAsia"/>
                <w:color w:val="000000" w:themeColor="text1"/>
                <w:kern w:val="0"/>
                <w:sz w:val="28"/>
                <w:szCs w:val="28"/>
              </w:rPr>
              <w:t>)</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t>SCI论文（Ⅱ区）</w:t>
            </w:r>
          </w:p>
        </w:tc>
        <w:tc>
          <w:tcPr>
            <w:tcW w:w="4261" w:type="dxa"/>
            <w:vAlign w:val="center"/>
          </w:tcPr>
          <w:p w:rsidR="00097A45" w:rsidRPr="00AF3E5C" w:rsidRDefault="00AF3E5C"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Pr>
                <w:rFonts w:asciiTheme="minorEastAsia" w:hAnsiTheme="minorEastAsia" w:cs="仿宋_GB2312" w:hint="eastAsia"/>
                <w:color w:val="000000" w:themeColor="text1"/>
                <w:kern w:val="0"/>
                <w:sz w:val="28"/>
                <w:szCs w:val="28"/>
              </w:rPr>
              <w:t>80+(IF*</w:t>
            </w:r>
            <w:r w:rsidR="00EA62EF" w:rsidRPr="00AF3E5C">
              <w:rPr>
                <w:rFonts w:asciiTheme="minorEastAsia" w:hAnsiTheme="minorEastAsia" w:cs="仿宋_GB2312" w:hint="eastAsia"/>
                <w:color w:val="000000" w:themeColor="text1"/>
                <w:kern w:val="0"/>
                <w:sz w:val="28"/>
                <w:szCs w:val="28"/>
              </w:rPr>
              <w:t>5</w:t>
            </w:r>
            <w:r w:rsidR="00027D1E" w:rsidRPr="00AF3E5C">
              <w:rPr>
                <w:rFonts w:asciiTheme="minorEastAsia" w:hAnsiTheme="minorEastAsia" w:cs="仿宋_GB2312" w:hint="eastAsia"/>
                <w:color w:val="000000" w:themeColor="text1"/>
                <w:kern w:val="0"/>
                <w:sz w:val="28"/>
                <w:szCs w:val="28"/>
              </w:rPr>
              <w:t>)</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t>SCI论文（III区、Ⅳ区）</w:t>
            </w:r>
          </w:p>
        </w:tc>
        <w:tc>
          <w:tcPr>
            <w:tcW w:w="4261" w:type="dxa"/>
            <w:vAlign w:val="center"/>
          </w:tcPr>
          <w:p w:rsidR="00097A45" w:rsidRPr="00AF3E5C" w:rsidRDefault="00027D1E"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sidRPr="00AF3E5C">
              <w:rPr>
                <w:rFonts w:asciiTheme="minorEastAsia" w:hAnsiTheme="minorEastAsia" w:cs="仿宋_GB2312" w:hint="eastAsia"/>
                <w:color w:val="000000" w:themeColor="text1"/>
                <w:kern w:val="0"/>
                <w:sz w:val="28"/>
                <w:szCs w:val="28"/>
              </w:rPr>
              <w:t>4</w:t>
            </w:r>
            <w:r w:rsidR="00346F7E" w:rsidRPr="00AF3E5C">
              <w:rPr>
                <w:rFonts w:asciiTheme="minorEastAsia" w:hAnsiTheme="minorEastAsia" w:cs="仿宋_GB2312" w:hint="eastAsia"/>
                <w:color w:val="000000" w:themeColor="text1"/>
                <w:kern w:val="0"/>
                <w:sz w:val="28"/>
                <w:szCs w:val="28"/>
              </w:rPr>
              <w:t>0</w:t>
            </w:r>
            <w:r w:rsidR="00AF3E5C">
              <w:rPr>
                <w:rFonts w:asciiTheme="minorEastAsia" w:hAnsiTheme="minorEastAsia" w:cs="仿宋_GB2312" w:hint="eastAsia"/>
                <w:color w:val="000000" w:themeColor="text1"/>
                <w:kern w:val="0"/>
                <w:sz w:val="28"/>
                <w:szCs w:val="28"/>
              </w:rPr>
              <w:t>+</w:t>
            </w:r>
            <w:r w:rsidRPr="00AF3E5C">
              <w:rPr>
                <w:rFonts w:asciiTheme="minorEastAsia" w:hAnsiTheme="minorEastAsia" w:cs="仿宋_GB2312"/>
                <w:color w:val="000000" w:themeColor="text1"/>
                <w:kern w:val="0"/>
                <w:sz w:val="28"/>
                <w:szCs w:val="28"/>
              </w:rPr>
              <w:t>(IF</w:t>
            </w:r>
            <w:r w:rsidR="00AF3E5C">
              <w:rPr>
                <w:rFonts w:asciiTheme="minorEastAsia" w:hAnsiTheme="minorEastAsia" w:cs="仿宋_GB2312" w:hint="eastAsia"/>
                <w:color w:val="000000" w:themeColor="text1"/>
                <w:kern w:val="0"/>
                <w:sz w:val="28"/>
                <w:szCs w:val="28"/>
              </w:rPr>
              <w:t>*</w:t>
            </w:r>
            <w:r w:rsidR="00EA62EF" w:rsidRPr="00AF3E5C">
              <w:rPr>
                <w:rFonts w:asciiTheme="minorEastAsia" w:hAnsiTheme="minorEastAsia" w:cs="仿宋_GB2312" w:hint="eastAsia"/>
                <w:color w:val="000000" w:themeColor="text1"/>
                <w:kern w:val="0"/>
                <w:sz w:val="28"/>
                <w:szCs w:val="28"/>
              </w:rPr>
              <w:t>5</w:t>
            </w:r>
            <w:r w:rsidR="00097A45" w:rsidRPr="00AF3E5C">
              <w:rPr>
                <w:rFonts w:asciiTheme="minorEastAsia" w:hAnsiTheme="minorEastAsia" w:cs="仿宋_GB2312"/>
                <w:color w:val="000000" w:themeColor="text1"/>
                <w:kern w:val="0"/>
                <w:sz w:val="28"/>
                <w:szCs w:val="28"/>
              </w:rPr>
              <w:t>)</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t>被SCI、EI、ISTP收录，但尚未列入JCR分区的学术论文</w:t>
            </w:r>
          </w:p>
        </w:tc>
        <w:tc>
          <w:tcPr>
            <w:tcW w:w="4261" w:type="dxa"/>
            <w:vAlign w:val="center"/>
          </w:tcPr>
          <w:p w:rsidR="00097A45" w:rsidRPr="00AF3E5C" w:rsidRDefault="00AF3E5C"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Pr>
                <w:rFonts w:asciiTheme="minorEastAsia" w:hAnsiTheme="minorEastAsia" w:cs="仿宋_GB2312" w:hint="eastAsia"/>
                <w:color w:val="000000" w:themeColor="text1"/>
                <w:kern w:val="0"/>
                <w:sz w:val="28"/>
                <w:szCs w:val="28"/>
              </w:rPr>
              <w:t>25+</w:t>
            </w:r>
            <w:r>
              <w:rPr>
                <w:rFonts w:asciiTheme="minorEastAsia" w:hAnsiTheme="minorEastAsia" w:cs="仿宋_GB2312"/>
                <w:color w:val="000000" w:themeColor="text1"/>
                <w:kern w:val="0"/>
                <w:sz w:val="28"/>
                <w:szCs w:val="28"/>
              </w:rPr>
              <w:t>(IF</w:t>
            </w:r>
            <w:r>
              <w:rPr>
                <w:rFonts w:asciiTheme="minorEastAsia" w:hAnsiTheme="minorEastAsia" w:cs="仿宋_GB2312" w:hint="eastAsia"/>
                <w:color w:val="000000" w:themeColor="text1"/>
                <w:kern w:val="0"/>
                <w:sz w:val="28"/>
                <w:szCs w:val="28"/>
              </w:rPr>
              <w:t>*</w:t>
            </w:r>
            <w:r w:rsidR="00EA62EF" w:rsidRPr="00AF3E5C">
              <w:rPr>
                <w:rFonts w:asciiTheme="minorEastAsia" w:hAnsiTheme="minorEastAsia" w:cs="仿宋_GB2312" w:hint="eastAsia"/>
                <w:color w:val="000000" w:themeColor="text1"/>
                <w:kern w:val="0"/>
                <w:sz w:val="28"/>
                <w:szCs w:val="28"/>
              </w:rPr>
              <w:t>5</w:t>
            </w:r>
            <w:r w:rsidR="00027D1E" w:rsidRPr="00AF3E5C">
              <w:rPr>
                <w:rFonts w:asciiTheme="minorEastAsia" w:hAnsiTheme="minorEastAsia" w:cs="仿宋_GB2312"/>
                <w:color w:val="000000" w:themeColor="text1"/>
                <w:kern w:val="0"/>
                <w:sz w:val="28"/>
                <w:szCs w:val="28"/>
              </w:rPr>
              <w:t>)</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t>学校认定的国内A类学术期刊</w:t>
            </w:r>
          </w:p>
        </w:tc>
        <w:tc>
          <w:tcPr>
            <w:tcW w:w="4261" w:type="dxa"/>
            <w:vAlign w:val="center"/>
          </w:tcPr>
          <w:p w:rsidR="00097A45" w:rsidRPr="00AF3E5C" w:rsidRDefault="00EA62EF"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sidRPr="00AF3E5C">
              <w:rPr>
                <w:rFonts w:asciiTheme="minorEastAsia" w:hAnsiTheme="minorEastAsia" w:cs="仿宋_GB2312" w:hint="eastAsia"/>
                <w:color w:val="000000" w:themeColor="text1"/>
                <w:kern w:val="0"/>
                <w:sz w:val="28"/>
                <w:szCs w:val="28"/>
              </w:rPr>
              <w:t>25</w:t>
            </w:r>
          </w:p>
        </w:tc>
      </w:tr>
      <w:tr w:rsidR="00097A45" w:rsidRPr="00B10C44" w:rsidTr="00583DBE">
        <w:tc>
          <w:tcPr>
            <w:tcW w:w="4261" w:type="dxa"/>
            <w:vAlign w:val="center"/>
          </w:tcPr>
          <w:p w:rsidR="00097A45" w:rsidRPr="00B10C44" w:rsidRDefault="00097A45" w:rsidP="006D440C">
            <w:pPr>
              <w:widowControl/>
              <w:shd w:val="clear" w:color="auto" w:fill="FFFFFF"/>
              <w:spacing w:line="360" w:lineRule="auto"/>
              <w:jc w:val="center"/>
              <w:rPr>
                <w:rFonts w:asciiTheme="minorEastAsia" w:hAnsiTheme="minorEastAsia" w:cs="仿宋_GB2312"/>
                <w:kern w:val="0"/>
                <w:sz w:val="28"/>
                <w:szCs w:val="28"/>
              </w:rPr>
            </w:pPr>
            <w:r w:rsidRPr="00B10C44">
              <w:rPr>
                <w:rFonts w:asciiTheme="minorEastAsia" w:hAnsiTheme="minorEastAsia" w:cs="仿宋_GB2312"/>
                <w:kern w:val="0"/>
                <w:sz w:val="28"/>
                <w:szCs w:val="28"/>
              </w:rPr>
              <w:t>学校认定的国内B类学术期刊</w:t>
            </w:r>
          </w:p>
        </w:tc>
        <w:tc>
          <w:tcPr>
            <w:tcW w:w="4261" w:type="dxa"/>
            <w:vAlign w:val="center"/>
          </w:tcPr>
          <w:p w:rsidR="00097A45" w:rsidRPr="00AF3E5C" w:rsidRDefault="00097A45" w:rsidP="006D440C">
            <w:pPr>
              <w:widowControl/>
              <w:shd w:val="clear" w:color="auto" w:fill="FFFFFF"/>
              <w:spacing w:line="360" w:lineRule="auto"/>
              <w:jc w:val="center"/>
              <w:rPr>
                <w:rFonts w:asciiTheme="minorEastAsia" w:hAnsiTheme="minorEastAsia" w:cs="仿宋_GB2312"/>
                <w:color w:val="000000" w:themeColor="text1"/>
                <w:kern w:val="0"/>
                <w:sz w:val="28"/>
                <w:szCs w:val="28"/>
              </w:rPr>
            </w:pPr>
            <w:r w:rsidRPr="00AF3E5C">
              <w:rPr>
                <w:rFonts w:asciiTheme="minorEastAsia" w:hAnsiTheme="minorEastAsia" w:cs="仿宋_GB2312"/>
                <w:color w:val="000000" w:themeColor="text1"/>
                <w:kern w:val="0"/>
                <w:sz w:val="28"/>
                <w:szCs w:val="28"/>
              </w:rPr>
              <w:t>5</w:t>
            </w:r>
          </w:p>
        </w:tc>
      </w:tr>
    </w:tbl>
    <w:p w:rsidR="00097A45" w:rsidRPr="00F16852" w:rsidRDefault="00097A45" w:rsidP="00F16852">
      <w:pPr>
        <w:widowControl/>
        <w:shd w:val="clear" w:color="auto" w:fill="FFFFFF"/>
        <w:spacing w:line="360" w:lineRule="auto"/>
        <w:ind w:firstLineChars="196" w:firstLine="470"/>
        <w:rPr>
          <w:rFonts w:ascii="仿宋_GB2312" w:eastAsia="仿宋_GB2312" w:hAnsi="宋体" w:cs="仿宋_GB2312"/>
          <w:kern w:val="0"/>
          <w:sz w:val="24"/>
          <w:szCs w:val="24"/>
        </w:rPr>
      </w:pPr>
      <w:r w:rsidRPr="00F16852">
        <w:rPr>
          <w:rFonts w:ascii="仿宋_GB2312" w:eastAsia="仿宋_GB2312" w:hAnsi="宋体" w:cs="仿宋_GB2312"/>
          <w:kern w:val="0"/>
          <w:sz w:val="24"/>
          <w:szCs w:val="24"/>
        </w:rPr>
        <w:t>注：SCI分区依据ISI出版的《Journal Citation Reports》为准。入选国内、国际会议论文集的论文、摘要不计分；</w:t>
      </w:r>
    </w:p>
    <w:p w:rsidR="00097A45" w:rsidRPr="007E3775" w:rsidRDefault="00097A45" w:rsidP="004C51A4">
      <w:pPr>
        <w:widowControl/>
        <w:shd w:val="clear" w:color="auto" w:fill="FFFFFF"/>
        <w:spacing w:line="360" w:lineRule="auto"/>
        <w:ind w:firstLineChars="200" w:firstLine="640"/>
        <w:rPr>
          <w:rFonts w:ascii="仿宋_GB2312" w:eastAsia="仿宋_GB2312" w:hAnsi="宋体" w:cs="仿宋_GB2312"/>
          <w:b/>
          <w:color w:val="FF0000"/>
          <w:kern w:val="0"/>
          <w:sz w:val="32"/>
          <w:szCs w:val="32"/>
        </w:rPr>
      </w:pPr>
      <w:r w:rsidRPr="007E3775">
        <w:rPr>
          <w:rFonts w:ascii="仿宋_GB2312" w:eastAsia="仿宋_GB2312" w:hAnsi="宋体" w:cs="仿宋_GB2312"/>
          <w:kern w:val="0"/>
          <w:sz w:val="32"/>
          <w:szCs w:val="32"/>
        </w:rPr>
        <w:t>（5）SCI论文并列第一作者计分办法：</w:t>
      </w:r>
      <w:r w:rsidR="00B64C91" w:rsidRPr="007E3775">
        <w:rPr>
          <w:rFonts w:ascii="仿宋_GB2312" w:eastAsia="仿宋_GB2312" w:hAnsi="宋体" w:cs="仿宋_GB2312" w:hint="eastAsia"/>
          <w:kern w:val="0"/>
          <w:sz w:val="32"/>
          <w:szCs w:val="32"/>
        </w:rPr>
        <w:t>参评的所有科研论文，学生本人须是第一作者、第一署名单位是西北农林科技大学。SCI论文并列第一作者为2人时，按照排名分别占60%和40%记分；并列第一作者为3人时，按照排名分别占50%、30%和20%</w:t>
      </w:r>
      <w:r w:rsidR="00AF3E5C">
        <w:rPr>
          <w:rFonts w:ascii="仿宋_GB2312" w:eastAsia="仿宋_GB2312" w:hAnsi="宋体" w:cs="仿宋_GB2312" w:hint="eastAsia"/>
          <w:kern w:val="0"/>
          <w:sz w:val="32"/>
          <w:szCs w:val="32"/>
        </w:rPr>
        <w:t>记分。</w:t>
      </w:r>
      <w:r w:rsidR="00AF3E5C" w:rsidRPr="007E3775">
        <w:rPr>
          <w:rFonts w:ascii="仿宋_GB2312" w:eastAsia="仿宋_GB2312" w:hAnsi="宋体" w:cs="仿宋_GB2312"/>
          <w:b/>
          <w:color w:val="FF0000"/>
          <w:kern w:val="0"/>
          <w:sz w:val="32"/>
          <w:szCs w:val="32"/>
        </w:rPr>
        <w:t xml:space="preserve"> </w:t>
      </w:r>
    </w:p>
    <w:p w:rsidR="00097A45" w:rsidRPr="007E3775" w:rsidRDefault="00097A45" w:rsidP="00B10C44">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2、发明专利计分方法</w:t>
      </w:r>
    </w:p>
    <w:p w:rsidR="00583DBE"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国家授权发明专利每项40分，授权实用新型专利每项20分。</w:t>
      </w:r>
    </w:p>
    <w:p w:rsidR="00716A6B"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专利发明人为多人时，第一发明人为导师者，第二发明人可获得相应奖励积分的60%,3-6位依次获得10%</w:t>
      </w:r>
      <w:r w:rsidR="00DC2B2C" w:rsidRPr="007E3775">
        <w:rPr>
          <w:rFonts w:ascii="仿宋_GB2312" w:eastAsia="仿宋_GB2312" w:hAnsi="宋体" w:cs="仿宋_GB2312" w:hint="eastAsia"/>
          <w:kern w:val="0"/>
          <w:sz w:val="32"/>
          <w:szCs w:val="32"/>
        </w:rPr>
        <w:t>；</w:t>
      </w:r>
    </w:p>
    <w:p w:rsidR="00B10C44" w:rsidRDefault="00097A45" w:rsidP="00055968">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（四）科研成果获奖</w:t>
      </w:r>
    </w:p>
    <w:p w:rsidR="00097A45" w:rsidRPr="007E3775" w:rsidRDefault="00097A45" w:rsidP="00055968">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在20分的基础上按以下标准给予加分：</w:t>
      </w:r>
    </w:p>
    <w:tbl>
      <w:tblPr>
        <w:tblStyle w:val="a6"/>
        <w:tblW w:w="8897" w:type="dxa"/>
        <w:tblLook w:val="04A0" w:firstRow="1" w:lastRow="0" w:firstColumn="1" w:lastColumn="0" w:noHBand="0" w:noVBand="1"/>
      </w:tblPr>
      <w:tblGrid>
        <w:gridCol w:w="1526"/>
        <w:gridCol w:w="1080"/>
        <w:gridCol w:w="6291"/>
      </w:tblGrid>
      <w:tr w:rsidR="008A1638" w:rsidRPr="00B10C44" w:rsidTr="00583DBE">
        <w:tc>
          <w:tcPr>
            <w:tcW w:w="2606" w:type="dxa"/>
            <w:gridSpan w:val="2"/>
          </w:tcPr>
          <w:p w:rsidR="008A1638" w:rsidRPr="001D78A6" w:rsidRDefault="008A1638" w:rsidP="00583DBE">
            <w:pPr>
              <w:widowControl/>
              <w:shd w:val="clear" w:color="auto" w:fill="FFFFFF"/>
              <w:spacing w:line="360" w:lineRule="auto"/>
              <w:jc w:val="center"/>
              <w:rPr>
                <w:rFonts w:asciiTheme="minorEastAsia" w:hAnsiTheme="minorEastAsia" w:cs="仿宋_GB2312"/>
                <w:kern w:val="0"/>
                <w:sz w:val="28"/>
                <w:szCs w:val="28"/>
              </w:rPr>
            </w:pPr>
            <w:r w:rsidRPr="001D78A6">
              <w:rPr>
                <w:rFonts w:asciiTheme="minorEastAsia" w:hAnsiTheme="minorEastAsia" w:cs="仿宋_GB2312" w:hint="eastAsia"/>
                <w:kern w:val="0"/>
                <w:sz w:val="28"/>
                <w:szCs w:val="28"/>
              </w:rPr>
              <w:lastRenderedPageBreak/>
              <w:t>奖励级别</w:t>
            </w:r>
          </w:p>
        </w:tc>
        <w:tc>
          <w:tcPr>
            <w:tcW w:w="6291" w:type="dxa"/>
          </w:tcPr>
          <w:p w:rsidR="008A1638" w:rsidRPr="001D78A6" w:rsidRDefault="008A1638" w:rsidP="00B10C44">
            <w:pPr>
              <w:shd w:val="clear" w:color="auto" w:fill="FFFFFF"/>
              <w:spacing w:line="360" w:lineRule="auto"/>
              <w:ind w:leftChars="552" w:left="1159" w:firstLineChars="500" w:firstLine="1400"/>
              <w:rPr>
                <w:rFonts w:asciiTheme="minorEastAsia" w:hAnsiTheme="minorEastAsia" w:cs="仿宋_GB2312"/>
                <w:kern w:val="0"/>
                <w:sz w:val="28"/>
                <w:szCs w:val="28"/>
              </w:rPr>
            </w:pPr>
            <w:r w:rsidRPr="001D78A6">
              <w:rPr>
                <w:rFonts w:asciiTheme="minorEastAsia" w:hAnsiTheme="minorEastAsia" w:cs="仿宋_GB2312"/>
                <w:kern w:val="0"/>
                <w:sz w:val="28"/>
                <w:szCs w:val="28"/>
              </w:rPr>
              <w:t>加</w:t>
            </w:r>
            <w:r w:rsidRPr="001D78A6">
              <w:rPr>
                <w:rFonts w:asciiTheme="minorEastAsia" w:hAnsiTheme="minorEastAsia" w:cs="仿宋_GB2312" w:hint="eastAsia"/>
                <w:kern w:val="0"/>
                <w:sz w:val="28"/>
                <w:szCs w:val="28"/>
              </w:rPr>
              <w:t xml:space="preserve"> </w:t>
            </w:r>
            <w:r w:rsidRPr="001D78A6">
              <w:rPr>
                <w:rFonts w:asciiTheme="minorEastAsia" w:hAnsiTheme="minorEastAsia" w:cs="仿宋_GB2312"/>
                <w:kern w:val="0"/>
                <w:sz w:val="28"/>
                <w:szCs w:val="28"/>
              </w:rPr>
              <w:t>分</w:t>
            </w:r>
          </w:p>
        </w:tc>
      </w:tr>
      <w:tr w:rsidR="008A1638" w:rsidRPr="00B10C44" w:rsidTr="001B0F2D">
        <w:tc>
          <w:tcPr>
            <w:tcW w:w="1526" w:type="dxa"/>
            <w:vMerge w:val="restart"/>
          </w:tcPr>
          <w:p w:rsidR="001B0F2D" w:rsidRPr="001D78A6" w:rsidRDefault="001B0F2D" w:rsidP="001B0F2D">
            <w:pPr>
              <w:widowControl/>
              <w:shd w:val="clear" w:color="auto" w:fill="FFFFFF"/>
              <w:spacing w:line="360" w:lineRule="auto"/>
              <w:jc w:val="center"/>
              <w:rPr>
                <w:rFonts w:asciiTheme="minorEastAsia" w:hAnsiTheme="minorEastAsia" w:cs="仿宋_GB2312"/>
                <w:kern w:val="0"/>
                <w:sz w:val="28"/>
                <w:szCs w:val="28"/>
              </w:rPr>
            </w:pPr>
          </w:p>
          <w:p w:rsidR="008A1638" w:rsidRPr="001D78A6" w:rsidRDefault="008A1638" w:rsidP="00B10C44">
            <w:pPr>
              <w:widowControl/>
              <w:shd w:val="clear" w:color="auto" w:fill="FFFFFF"/>
              <w:spacing w:line="360" w:lineRule="auto"/>
              <w:ind w:firstLineChars="100" w:firstLine="280"/>
              <w:jc w:val="center"/>
              <w:rPr>
                <w:rFonts w:asciiTheme="minorEastAsia" w:hAnsiTheme="minorEastAsia" w:cs="仿宋_GB2312"/>
                <w:kern w:val="0"/>
                <w:sz w:val="28"/>
                <w:szCs w:val="28"/>
              </w:rPr>
            </w:pPr>
            <w:r w:rsidRPr="001D78A6">
              <w:rPr>
                <w:rFonts w:asciiTheme="minorEastAsia" w:hAnsiTheme="minorEastAsia" w:cs="仿宋_GB2312" w:hint="eastAsia"/>
                <w:kern w:val="0"/>
                <w:sz w:val="28"/>
                <w:szCs w:val="28"/>
              </w:rPr>
              <w:t>国家级</w:t>
            </w: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一等奖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前十名依次加20、18、17、16、15、14、13、12、11、10分</w:t>
            </w:r>
          </w:p>
        </w:tc>
      </w:tr>
      <w:tr w:rsidR="008A1638" w:rsidRPr="00B10C44" w:rsidTr="008A1638">
        <w:tc>
          <w:tcPr>
            <w:tcW w:w="1526" w:type="dxa"/>
            <w:vMerge/>
          </w:tcPr>
          <w:p w:rsidR="008A1638" w:rsidRPr="001D78A6" w:rsidRDefault="008A1638" w:rsidP="00B10C44">
            <w:pPr>
              <w:widowControl/>
              <w:shd w:val="clear" w:color="auto" w:fill="FFFFFF"/>
              <w:spacing w:line="360" w:lineRule="auto"/>
              <w:ind w:firstLineChars="196" w:firstLine="549"/>
              <w:jc w:val="center"/>
              <w:rPr>
                <w:rFonts w:asciiTheme="minorEastAsia" w:hAnsiTheme="minorEastAsia" w:cs="仿宋_GB2312"/>
                <w:kern w:val="0"/>
                <w:sz w:val="28"/>
                <w:szCs w:val="28"/>
              </w:rPr>
            </w:pP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二等奖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前八名依次加15、13、12、11、10、9、8、7分</w:t>
            </w:r>
          </w:p>
        </w:tc>
      </w:tr>
      <w:tr w:rsidR="008A1638" w:rsidRPr="00B10C44" w:rsidTr="008A1638">
        <w:tc>
          <w:tcPr>
            <w:tcW w:w="1526" w:type="dxa"/>
            <w:vMerge/>
          </w:tcPr>
          <w:p w:rsidR="008A1638" w:rsidRPr="001D78A6" w:rsidRDefault="008A1638" w:rsidP="00B10C44">
            <w:pPr>
              <w:widowControl/>
              <w:shd w:val="clear" w:color="auto" w:fill="FFFFFF"/>
              <w:spacing w:line="360" w:lineRule="auto"/>
              <w:ind w:firstLineChars="196" w:firstLine="549"/>
              <w:jc w:val="center"/>
              <w:rPr>
                <w:rFonts w:asciiTheme="minorEastAsia" w:hAnsiTheme="minorEastAsia" w:cs="仿宋_GB2312"/>
                <w:kern w:val="0"/>
                <w:sz w:val="28"/>
                <w:szCs w:val="28"/>
              </w:rPr>
            </w:pP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三等奖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前六名依次加10、8、7、6、5、4分</w:t>
            </w:r>
          </w:p>
        </w:tc>
      </w:tr>
      <w:tr w:rsidR="008A1638" w:rsidRPr="00B10C44" w:rsidTr="008A1638">
        <w:tc>
          <w:tcPr>
            <w:tcW w:w="1526" w:type="dxa"/>
            <w:vMerge w:val="restart"/>
          </w:tcPr>
          <w:p w:rsidR="008A1638" w:rsidRPr="001D78A6" w:rsidRDefault="008A1638" w:rsidP="00716A6B">
            <w:pPr>
              <w:widowControl/>
              <w:shd w:val="clear" w:color="auto" w:fill="FFFFFF"/>
              <w:spacing w:line="360" w:lineRule="auto"/>
              <w:jc w:val="center"/>
              <w:rPr>
                <w:rFonts w:asciiTheme="minorEastAsia" w:hAnsiTheme="minorEastAsia" w:cs="仿宋_GB2312"/>
                <w:kern w:val="0"/>
                <w:sz w:val="28"/>
                <w:szCs w:val="28"/>
              </w:rPr>
            </w:pPr>
            <w:r w:rsidRPr="001D78A6">
              <w:rPr>
                <w:rFonts w:asciiTheme="minorEastAsia" w:hAnsiTheme="minorEastAsia" w:cs="仿宋_GB2312"/>
                <w:kern w:val="0"/>
                <w:sz w:val="28"/>
                <w:szCs w:val="28"/>
              </w:rPr>
              <w:t>省部级（科学技术奖）</w:t>
            </w: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一等奖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前八名依次加12、10、9、8、7、6、5、4分</w:t>
            </w:r>
          </w:p>
        </w:tc>
      </w:tr>
      <w:tr w:rsidR="008A1638" w:rsidRPr="00B10C44" w:rsidTr="008A1638">
        <w:tc>
          <w:tcPr>
            <w:tcW w:w="1526" w:type="dxa"/>
            <w:vMerge/>
          </w:tcPr>
          <w:p w:rsidR="008A1638" w:rsidRPr="001D78A6" w:rsidRDefault="008A1638" w:rsidP="00B10C44">
            <w:pPr>
              <w:widowControl/>
              <w:shd w:val="clear" w:color="auto" w:fill="FFFFFF"/>
              <w:spacing w:line="360" w:lineRule="auto"/>
              <w:ind w:firstLineChars="196" w:firstLine="549"/>
              <w:rPr>
                <w:rFonts w:asciiTheme="minorEastAsia" w:hAnsiTheme="minorEastAsia" w:cs="仿宋_GB2312"/>
                <w:kern w:val="0"/>
                <w:sz w:val="28"/>
                <w:szCs w:val="28"/>
              </w:rPr>
            </w:pP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二等奖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前六名依次加8、7、6、5、4、3分</w:t>
            </w:r>
          </w:p>
        </w:tc>
      </w:tr>
      <w:tr w:rsidR="008A1638" w:rsidRPr="00B10C44" w:rsidTr="008A1638">
        <w:tc>
          <w:tcPr>
            <w:tcW w:w="1526" w:type="dxa"/>
            <w:vMerge/>
          </w:tcPr>
          <w:p w:rsidR="008A1638" w:rsidRPr="001D78A6" w:rsidRDefault="008A1638" w:rsidP="00B10C44">
            <w:pPr>
              <w:widowControl/>
              <w:shd w:val="clear" w:color="auto" w:fill="FFFFFF"/>
              <w:spacing w:line="360" w:lineRule="auto"/>
              <w:ind w:firstLineChars="196" w:firstLine="549"/>
              <w:rPr>
                <w:rFonts w:asciiTheme="minorEastAsia" w:hAnsiTheme="minorEastAsia" w:cs="仿宋_GB2312"/>
                <w:kern w:val="0"/>
                <w:sz w:val="28"/>
                <w:szCs w:val="28"/>
              </w:rPr>
            </w:pPr>
          </w:p>
        </w:tc>
        <w:tc>
          <w:tcPr>
            <w:tcW w:w="1080" w:type="dxa"/>
          </w:tcPr>
          <w:p w:rsidR="008A1638" w:rsidRPr="001D78A6" w:rsidRDefault="008A1638" w:rsidP="008A1638">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三等奖</w:t>
            </w:r>
            <w:r w:rsidRPr="001D78A6">
              <w:rPr>
                <w:rFonts w:asciiTheme="minorEastAsia" w:hAnsiTheme="minorEastAsia" w:cs="仿宋_GB2312" w:hint="eastAsia"/>
                <w:kern w:val="0"/>
                <w:sz w:val="28"/>
                <w:szCs w:val="28"/>
              </w:rPr>
              <w:t xml:space="preserve"> </w:t>
            </w:r>
          </w:p>
        </w:tc>
        <w:tc>
          <w:tcPr>
            <w:tcW w:w="6291" w:type="dxa"/>
          </w:tcPr>
          <w:p w:rsidR="008A1638" w:rsidRPr="001D78A6" w:rsidRDefault="008A1638" w:rsidP="00716A6B">
            <w:pPr>
              <w:widowControl/>
              <w:shd w:val="clear" w:color="auto" w:fill="FFFFFF"/>
              <w:spacing w:line="360" w:lineRule="auto"/>
              <w:rPr>
                <w:rFonts w:asciiTheme="minorEastAsia" w:hAnsiTheme="minorEastAsia" w:cs="仿宋_GB2312"/>
                <w:kern w:val="0"/>
                <w:sz w:val="28"/>
                <w:szCs w:val="28"/>
              </w:rPr>
            </w:pPr>
            <w:r w:rsidRPr="001D78A6">
              <w:rPr>
                <w:rFonts w:asciiTheme="minorEastAsia" w:hAnsiTheme="minorEastAsia" w:cs="仿宋_GB2312"/>
                <w:kern w:val="0"/>
                <w:sz w:val="28"/>
                <w:szCs w:val="28"/>
              </w:rPr>
              <w:t>前四名依次加5、4、3、2分</w:t>
            </w:r>
          </w:p>
        </w:tc>
      </w:tr>
    </w:tbl>
    <w:p w:rsidR="00097A45" w:rsidRPr="008A1638" w:rsidRDefault="00097A45" w:rsidP="008A1638">
      <w:pPr>
        <w:widowControl/>
        <w:shd w:val="clear" w:color="auto" w:fill="FFFFFF"/>
        <w:spacing w:line="360" w:lineRule="auto"/>
        <w:ind w:firstLineChars="200" w:firstLine="480"/>
        <w:rPr>
          <w:rFonts w:ascii="仿宋_GB2312" w:eastAsia="仿宋_GB2312" w:hAnsi="宋体" w:cs="仿宋_GB2312"/>
          <w:kern w:val="0"/>
          <w:sz w:val="24"/>
          <w:szCs w:val="24"/>
        </w:rPr>
      </w:pPr>
      <w:r w:rsidRPr="008A1638">
        <w:rPr>
          <w:rFonts w:ascii="仿宋_GB2312" w:eastAsia="仿宋_GB2312" w:hAnsi="宋体" w:cs="仿宋_GB2312"/>
          <w:kern w:val="0"/>
          <w:sz w:val="24"/>
          <w:szCs w:val="24"/>
        </w:rPr>
        <w:t>注：参与评定的所有科研成果时间范围为入学之日起到评奖资料规定提交之日截止；曾获得研究生国家奖学金学生不得以相同材料再次参评；硕博连读和提前攻博的研究生可计分的科研成果从攻读博士学位之日起开始。</w:t>
      </w:r>
    </w:p>
    <w:p w:rsidR="00097A45" w:rsidRPr="007E3775" w:rsidRDefault="00097A45" w:rsidP="007E3775">
      <w:pPr>
        <w:widowControl/>
        <w:shd w:val="clear" w:color="auto" w:fill="FFFFFF"/>
        <w:spacing w:line="360" w:lineRule="auto"/>
        <w:ind w:firstLineChars="200" w:firstLine="560"/>
        <w:rPr>
          <w:rFonts w:ascii="仿宋_GB2312" w:eastAsia="仿宋_GB2312" w:hAnsi="宋体" w:cs="仿宋_GB2312"/>
          <w:kern w:val="0"/>
          <w:sz w:val="28"/>
          <w:szCs w:val="32"/>
        </w:rPr>
      </w:pPr>
      <w:r w:rsidRPr="007E3775">
        <w:rPr>
          <w:rFonts w:ascii="仿宋_GB2312" w:eastAsia="仿宋_GB2312" w:hAnsi="宋体" w:cs="仿宋_GB2312"/>
          <w:kern w:val="0"/>
          <w:sz w:val="28"/>
          <w:szCs w:val="32"/>
        </w:rPr>
        <w:t>学术型研究生参评最终成绩=德育成绩+学业成绩+科研业绩得分+科研成果获奖得分</w:t>
      </w:r>
    </w:p>
    <w:p w:rsidR="001D78A6" w:rsidRPr="008A1638" w:rsidRDefault="00097A45" w:rsidP="001D78A6">
      <w:pPr>
        <w:widowControl/>
        <w:shd w:val="clear" w:color="auto" w:fill="FFFFFF"/>
        <w:spacing w:line="360" w:lineRule="auto"/>
        <w:ind w:firstLineChars="200" w:firstLine="480"/>
        <w:rPr>
          <w:rFonts w:ascii="仿宋_GB2312" w:eastAsia="仿宋_GB2312" w:hAnsi="宋体" w:cs="仿宋_GB2312"/>
          <w:kern w:val="0"/>
          <w:sz w:val="24"/>
          <w:szCs w:val="24"/>
        </w:rPr>
      </w:pPr>
      <w:r w:rsidRPr="008A1638">
        <w:rPr>
          <w:rFonts w:ascii="仿宋_GB2312" w:eastAsia="仿宋_GB2312" w:hAnsi="宋体" w:cs="仿宋_GB2312"/>
          <w:kern w:val="0"/>
          <w:sz w:val="24"/>
          <w:szCs w:val="24"/>
        </w:rPr>
        <w:t>注：学术型研究生参评者在规定的时间内按评定要求提供相应参评材料，由学院研究生国家奖学金评审工作组负责审核材料并计算最终得分，依据得分高低将候选人名单及成绩提交领导小组审定，通过后，公示并上报学校审核。</w:t>
      </w:r>
    </w:p>
    <w:p w:rsidR="00B10C44" w:rsidRDefault="00097A45" w:rsidP="00B10C44">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第九条 专业学位研究生评选指标及办法</w:t>
      </w:r>
    </w:p>
    <w:p w:rsidR="00097A45" w:rsidRPr="007E3775" w:rsidRDefault="00097A45" w:rsidP="008C111B">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专业学位研究生评选分由基础分和综合实践测评分两部分组成，以基础分排名，按指标1：2进入综合实践测评环节，按综合实践测评成绩由高到低排列。</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（一）基础分</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1、德育成绩（德育成绩参照学术型研究生评选办法）</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2、学业成绩</w:t>
      </w:r>
    </w:p>
    <w:p w:rsidR="00BC79E4" w:rsidRPr="007E3775" w:rsidRDefault="00BC79E4"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lastRenderedPageBreak/>
        <w:t>学业成绩</w:t>
      </w:r>
      <w:r w:rsidR="00B347AD">
        <w:rPr>
          <w:rFonts w:ascii="仿宋_GB2312" w:eastAsia="仿宋_GB2312" w:hAnsi="宋体" w:cs="仿宋_GB2312" w:hint="eastAsia"/>
          <w:kern w:val="0"/>
          <w:sz w:val="32"/>
          <w:szCs w:val="32"/>
        </w:rPr>
        <w:t>为</w:t>
      </w:r>
      <w:r w:rsidRPr="007E3775">
        <w:rPr>
          <w:rFonts w:ascii="仿宋_GB2312" w:eastAsia="仿宋_GB2312" w:hAnsi="宋体" w:cs="仿宋_GB2312" w:hint="eastAsia"/>
          <w:kern w:val="0"/>
          <w:sz w:val="32"/>
          <w:szCs w:val="32"/>
        </w:rPr>
        <w:t>整体加权平均分</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3、科研业绩</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参照学术型研究生评选办法</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4、基础分=德育成绩+学业成绩+科研业绩</w:t>
      </w:r>
    </w:p>
    <w:p w:rsidR="00097A45" w:rsidRPr="007E3775"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（二）综合实践测评</w:t>
      </w:r>
    </w:p>
    <w:p w:rsidR="008A1638" w:rsidRDefault="00097A45" w:rsidP="001D78A6">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以基础分排名，按指标1：2进入综合实践测评环节，采取现场汇报形式，由学院研究生国家奖学金评审工作小组指派工作组成员成立专业实践测评小组，按以下指标打分，依据最终实践测评成绩</w:t>
      </w:r>
      <w:r w:rsidRPr="007E3775">
        <w:rPr>
          <w:rFonts w:ascii="仿宋_GB2312" w:eastAsia="仿宋_GB2312" w:hAnsi="宋体" w:cs="仿宋_GB2312"/>
          <w:b/>
          <w:kern w:val="0"/>
          <w:sz w:val="32"/>
          <w:szCs w:val="32"/>
        </w:rPr>
        <w:t>（基础分清零）</w:t>
      </w:r>
      <w:r w:rsidRPr="007E3775">
        <w:rPr>
          <w:rFonts w:ascii="仿宋_GB2312" w:eastAsia="仿宋_GB2312" w:hAnsi="宋体" w:cs="仿宋_GB2312"/>
          <w:kern w:val="0"/>
          <w:sz w:val="32"/>
          <w:szCs w:val="32"/>
        </w:rPr>
        <w:t>高低确定专业学位研究生获奖者候选人并提</w:t>
      </w:r>
      <w:r w:rsidR="001D78A6">
        <w:rPr>
          <w:rFonts w:ascii="仿宋_GB2312" w:eastAsia="仿宋_GB2312" w:hAnsi="宋体" w:cs="仿宋_GB2312"/>
          <w:kern w:val="0"/>
          <w:sz w:val="32"/>
          <w:szCs w:val="32"/>
        </w:rPr>
        <w:t>交工作小组审定，通过后，公示并上报学校审核。实践环节打分依据见</w:t>
      </w:r>
      <w:r w:rsidRPr="007E3775">
        <w:rPr>
          <w:rFonts w:ascii="仿宋_GB2312" w:eastAsia="仿宋_GB2312" w:hAnsi="宋体" w:cs="仿宋_GB2312"/>
          <w:kern w:val="0"/>
          <w:sz w:val="32"/>
          <w:szCs w:val="32"/>
        </w:rPr>
        <w:t>表</w:t>
      </w:r>
      <w:r w:rsidR="001D78A6">
        <w:rPr>
          <w:rFonts w:ascii="仿宋_GB2312" w:eastAsia="仿宋_GB2312" w:hAnsi="宋体" w:cs="仿宋_GB2312" w:hint="eastAsia"/>
          <w:kern w:val="0"/>
          <w:sz w:val="32"/>
          <w:szCs w:val="32"/>
        </w:rPr>
        <w:t>3</w:t>
      </w:r>
      <w:r w:rsidR="00B347AD">
        <w:rPr>
          <w:rFonts w:ascii="仿宋_GB2312" w:eastAsia="仿宋_GB2312" w:hAnsi="宋体" w:cs="仿宋_GB2312"/>
          <w:kern w:val="0"/>
          <w:sz w:val="32"/>
          <w:szCs w:val="32"/>
        </w:rPr>
        <w:t>。</w:t>
      </w:r>
    </w:p>
    <w:p w:rsidR="001D78A6" w:rsidRPr="001D78A6" w:rsidRDefault="001D78A6" w:rsidP="001D78A6">
      <w:pPr>
        <w:widowControl/>
        <w:jc w:val="center"/>
        <w:rPr>
          <w:rFonts w:ascii="仿宋" w:eastAsia="仿宋" w:hAnsi="仿宋" w:cs="Times New Roman"/>
          <w:b/>
          <w:sz w:val="24"/>
          <w:szCs w:val="24"/>
        </w:rPr>
      </w:pPr>
      <w:r w:rsidRPr="001D78A6">
        <w:rPr>
          <w:rFonts w:ascii="仿宋" w:eastAsia="仿宋" w:hAnsi="仿宋" w:cs="仿宋_GB2312" w:hint="eastAsia"/>
          <w:b/>
          <w:kern w:val="0"/>
          <w:sz w:val="24"/>
          <w:szCs w:val="24"/>
        </w:rPr>
        <w:t>表3</w:t>
      </w:r>
      <w:r w:rsidRPr="001D78A6">
        <w:rPr>
          <w:rFonts w:ascii="仿宋" w:eastAsia="仿宋" w:hAnsi="仿宋" w:cs="Times New Roman" w:hint="eastAsia"/>
          <w:b/>
          <w:sz w:val="24"/>
          <w:szCs w:val="24"/>
        </w:rPr>
        <w:t>专业学位研究生</w:t>
      </w:r>
      <w:proofErr w:type="gramStart"/>
      <w:r w:rsidRPr="001D78A6">
        <w:rPr>
          <w:rFonts w:ascii="仿宋" w:eastAsia="仿宋" w:hAnsi="仿宋" w:cs="Times New Roman" w:hint="eastAsia"/>
          <w:b/>
          <w:sz w:val="24"/>
          <w:szCs w:val="24"/>
        </w:rPr>
        <w:t>评选国奖</w:t>
      </w:r>
      <w:proofErr w:type="gramEnd"/>
      <w:r w:rsidRPr="001D78A6">
        <w:rPr>
          <w:rFonts w:ascii="仿宋" w:eastAsia="仿宋" w:hAnsi="仿宋" w:cs="Times New Roman" w:hint="eastAsia"/>
          <w:b/>
          <w:sz w:val="24"/>
          <w:szCs w:val="24"/>
        </w:rPr>
        <w:t>奖学金实践环节考评表</w:t>
      </w:r>
    </w:p>
    <w:tbl>
      <w:tblPr>
        <w:tblStyle w:val="a6"/>
        <w:tblW w:w="8931" w:type="dxa"/>
        <w:tblInd w:w="-318" w:type="dxa"/>
        <w:tblLook w:val="04A0" w:firstRow="1" w:lastRow="0" w:firstColumn="1" w:lastColumn="0" w:noHBand="0" w:noVBand="1"/>
      </w:tblPr>
      <w:tblGrid>
        <w:gridCol w:w="1419"/>
        <w:gridCol w:w="850"/>
        <w:gridCol w:w="1276"/>
        <w:gridCol w:w="1984"/>
        <w:gridCol w:w="1985"/>
        <w:gridCol w:w="1417"/>
      </w:tblGrid>
      <w:tr w:rsidR="00C7361A" w:rsidRPr="004C2A50" w:rsidTr="006122E6">
        <w:tc>
          <w:tcPr>
            <w:tcW w:w="1419" w:type="dxa"/>
            <w:vAlign w:val="center"/>
          </w:tcPr>
          <w:p w:rsidR="00C7361A" w:rsidRP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一级分类</w:t>
            </w:r>
          </w:p>
        </w:tc>
        <w:tc>
          <w:tcPr>
            <w:tcW w:w="850" w:type="dxa"/>
            <w:vAlign w:val="center"/>
          </w:tcPr>
          <w:p w:rsid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二级</w:t>
            </w:r>
          </w:p>
          <w:p w:rsidR="00C7361A" w:rsidRP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分类</w:t>
            </w:r>
          </w:p>
        </w:tc>
        <w:tc>
          <w:tcPr>
            <w:tcW w:w="3260" w:type="dxa"/>
            <w:gridSpan w:val="2"/>
            <w:vAlign w:val="center"/>
          </w:tcPr>
          <w:p w:rsidR="00C7361A" w:rsidRPr="008A1638" w:rsidRDefault="00C7361A" w:rsidP="006122E6">
            <w:pPr>
              <w:widowControl/>
              <w:shd w:val="clear" w:color="auto" w:fill="FFFFFF"/>
              <w:spacing w:line="360" w:lineRule="auto"/>
              <w:ind w:firstLineChars="98" w:firstLine="236"/>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具体描述</w:t>
            </w:r>
          </w:p>
        </w:tc>
        <w:tc>
          <w:tcPr>
            <w:tcW w:w="1985" w:type="dxa"/>
            <w:vAlign w:val="center"/>
          </w:tcPr>
          <w:p w:rsidR="00C7361A" w:rsidRP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分值说明</w:t>
            </w:r>
          </w:p>
        </w:tc>
        <w:tc>
          <w:tcPr>
            <w:tcW w:w="1417" w:type="dxa"/>
            <w:vAlign w:val="center"/>
          </w:tcPr>
          <w:p w:rsidR="00C7361A" w:rsidRPr="008A1638" w:rsidRDefault="00C7361A" w:rsidP="006122E6">
            <w:pPr>
              <w:widowControl/>
              <w:shd w:val="clear" w:color="auto" w:fill="FFFFFF"/>
              <w:spacing w:line="360" w:lineRule="auto"/>
              <w:jc w:val="center"/>
              <w:rPr>
                <w:rFonts w:ascii="仿宋_GB2312" w:eastAsia="仿宋_GB2312" w:hAnsi="宋体" w:cs="仿宋_GB2312"/>
                <w:b/>
                <w:kern w:val="0"/>
                <w:sz w:val="24"/>
                <w:szCs w:val="24"/>
              </w:rPr>
            </w:pPr>
            <w:r w:rsidRPr="008A1638">
              <w:rPr>
                <w:rFonts w:ascii="仿宋_GB2312" w:eastAsia="仿宋_GB2312" w:hAnsi="宋体" w:cs="仿宋_GB2312" w:hint="eastAsia"/>
                <w:b/>
                <w:kern w:val="0"/>
                <w:sz w:val="24"/>
                <w:szCs w:val="24"/>
              </w:rPr>
              <w:t>备注</w:t>
            </w:r>
          </w:p>
        </w:tc>
      </w:tr>
      <w:tr w:rsidR="00C7361A" w:rsidRPr="004C2A50" w:rsidTr="006122E6">
        <w:tc>
          <w:tcPr>
            <w:tcW w:w="1419" w:type="dxa"/>
            <w:vMerge w:val="restart"/>
          </w:tcPr>
          <w:p w:rsidR="004C2A50" w:rsidRPr="008A1638" w:rsidRDefault="004C2A50" w:rsidP="006122E6">
            <w:pPr>
              <w:widowControl/>
              <w:shd w:val="clear" w:color="auto" w:fill="FFFFFF"/>
              <w:spacing w:line="360" w:lineRule="auto"/>
              <w:jc w:val="center"/>
              <w:rPr>
                <w:rFonts w:ascii="仿宋_GB2312" w:eastAsia="仿宋_GB2312" w:hAnsi="宋体" w:cs="仿宋_GB2312"/>
                <w:kern w:val="0"/>
                <w:sz w:val="24"/>
                <w:szCs w:val="24"/>
              </w:rPr>
            </w:pPr>
          </w:p>
          <w:p w:rsidR="004C2A50" w:rsidRPr="008A1638" w:rsidRDefault="004C2A50" w:rsidP="006122E6">
            <w:pPr>
              <w:widowControl/>
              <w:shd w:val="clear" w:color="auto" w:fill="FFFFFF"/>
              <w:spacing w:line="360" w:lineRule="auto"/>
              <w:jc w:val="center"/>
              <w:rPr>
                <w:rFonts w:ascii="仿宋_GB2312" w:eastAsia="仿宋_GB2312" w:hAnsi="宋体" w:cs="仿宋_GB2312"/>
                <w:kern w:val="0"/>
                <w:sz w:val="24"/>
                <w:szCs w:val="24"/>
              </w:rPr>
            </w:pPr>
          </w:p>
          <w:p w:rsidR="00C7361A" w:rsidRPr="008A1638" w:rsidRDefault="00C7361A" w:rsidP="006122E6">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科研实践（30分）</w:t>
            </w:r>
          </w:p>
        </w:tc>
        <w:tc>
          <w:tcPr>
            <w:tcW w:w="850" w:type="dxa"/>
          </w:tcPr>
          <w:p w:rsidR="00C7361A" w:rsidRPr="008A1638" w:rsidRDefault="00C7361A"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科研量</w:t>
            </w:r>
          </w:p>
        </w:tc>
        <w:tc>
          <w:tcPr>
            <w:tcW w:w="3260" w:type="dxa"/>
            <w:gridSpan w:val="2"/>
          </w:tcPr>
          <w:p w:rsidR="00C7361A" w:rsidRPr="008A1638" w:rsidRDefault="00C7361A"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获得评定小组认可</w:t>
            </w:r>
            <w:r w:rsidR="008A1638">
              <w:rPr>
                <w:rFonts w:ascii="仿宋_GB2312" w:eastAsia="仿宋_GB2312" w:hAnsi="宋体" w:cs="仿宋_GB2312" w:hint="eastAsia"/>
                <w:kern w:val="0"/>
                <w:sz w:val="24"/>
                <w:szCs w:val="24"/>
              </w:rPr>
              <w:t>，</w:t>
            </w:r>
            <w:r w:rsidR="008A1638" w:rsidRPr="008A1638">
              <w:rPr>
                <w:rFonts w:ascii="仿宋_GB2312" w:eastAsia="仿宋_GB2312" w:hAnsi="宋体" w:cs="仿宋_GB2312" w:hint="eastAsia"/>
                <w:kern w:val="0"/>
                <w:sz w:val="24"/>
                <w:szCs w:val="24"/>
              </w:rPr>
              <w:t>评价为优秀/良好/合格</w:t>
            </w:r>
          </w:p>
        </w:tc>
        <w:tc>
          <w:tcPr>
            <w:tcW w:w="1985" w:type="dxa"/>
          </w:tcPr>
          <w:p w:rsidR="00C7361A" w:rsidRPr="008A1638" w:rsidRDefault="00C7361A"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C7361A" w:rsidRPr="008A1638" w:rsidRDefault="001E5D51" w:rsidP="008A1638">
            <w:pPr>
              <w:widowControl/>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C7361A" w:rsidRPr="004C2A50" w:rsidTr="00F23F9E">
        <w:tc>
          <w:tcPr>
            <w:tcW w:w="1419" w:type="dxa"/>
            <w:vMerge/>
          </w:tcPr>
          <w:p w:rsidR="00C7361A" w:rsidRPr="008A1638" w:rsidRDefault="00C7361A"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C7361A" w:rsidRPr="008A1638" w:rsidRDefault="00C7361A"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科研难度</w:t>
            </w:r>
          </w:p>
        </w:tc>
        <w:tc>
          <w:tcPr>
            <w:tcW w:w="3260" w:type="dxa"/>
            <w:gridSpan w:val="2"/>
          </w:tcPr>
          <w:p w:rsidR="00C7361A" w:rsidRDefault="00C7361A"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完成科研任务的难度</w:t>
            </w:r>
            <w:r w:rsidR="008A1638">
              <w:rPr>
                <w:rFonts w:ascii="仿宋_GB2312" w:eastAsia="仿宋_GB2312" w:hAnsi="宋体" w:cs="仿宋_GB2312" w:hint="eastAsia"/>
                <w:kern w:val="0"/>
                <w:sz w:val="24"/>
                <w:szCs w:val="24"/>
              </w:rPr>
              <w:t>，</w:t>
            </w:r>
          </w:p>
          <w:p w:rsidR="008A1638" w:rsidRPr="008A1638" w:rsidRDefault="008A1638"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难度高/中/</w:t>
            </w:r>
            <w:proofErr w:type="gramStart"/>
            <w:r w:rsidRPr="008A1638">
              <w:rPr>
                <w:rFonts w:ascii="仿宋_GB2312" w:eastAsia="仿宋_GB2312" w:hAnsi="宋体" w:cs="仿宋_GB2312" w:hint="eastAsia"/>
                <w:kern w:val="0"/>
                <w:sz w:val="24"/>
                <w:szCs w:val="24"/>
              </w:rPr>
              <w:t>低科研</w:t>
            </w:r>
            <w:proofErr w:type="gramEnd"/>
            <w:r w:rsidRPr="008A1638">
              <w:rPr>
                <w:rFonts w:ascii="仿宋_GB2312" w:eastAsia="仿宋_GB2312" w:hAnsi="宋体" w:cs="仿宋_GB2312" w:hint="eastAsia"/>
                <w:kern w:val="0"/>
                <w:sz w:val="24"/>
                <w:szCs w:val="24"/>
              </w:rPr>
              <w:t>成绩</w:t>
            </w:r>
          </w:p>
        </w:tc>
        <w:tc>
          <w:tcPr>
            <w:tcW w:w="1985" w:type="dxa"/>
          </w:tcPr>
          <w:p w:rsidR="00C7361A" w:rsidRPr="008A1638" w:rsidRDefault="001E5D51"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C7361A" w:rsidRPr="008A1638" w:rsidRDefault="001E5D51"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C7361A" w:rsidRPr="004C2A50" w:rsidTr="00F23F9E">
        <w:tc>
          <w:tcPr>
            <w:tcW w:w="1419" w:type="dxa"/>
            <w:vMerge/>
          </w:tcPr>
          <w:p w:rsidR="00C7361A" w:rsidRPr="008A1638" w:rsidRDefault="00C7361A"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C7361A" w:rsidRPr="008A1638" w:rsidRDefault="00C7361A"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论文发表</w:t>
            </w:r>
          </w:p>
        </w:tc>
        <w:tc>
          <w:tcPr>
            <w:tcW w:w="3260" w:type="dxa"/>
            <w:gridSpan w:val="2"/>
          </w:tcPr>
          <w:p w:rsidR="00C7361A" w:rsidRPr="008A1638" w:rsidRDefault="00C7361A" w:rsidP="00F23F9E">
            <w:pPr>
              <w:widowControl/>
              <w:shd w:val="clear" w:color="auto" w:fill="FFFFFF"/>
              <w:spacing w:line="360" w:lineRule="auto"/>
              <w:jc w:val="left"/>
              <w:rPr>
                <w:rFonts w:ascii="仿宋_GB2312" w:eastAsia="仿宋_GB2312" w:hAnsi="宋体" w:cs="仿宋_GB2312"/>
                <w:kern w:val="0"/>
                <w:sz w:val="24"/>
                <w:szCs w:val="24"/>
              </w:rPr>
            </w:pPr>
            <w:proofErr w:type="gramStart"/>
            <w:r w:rsidRPr="008A1638">
              <w:rPr>
                <w:rFonts w:ascii="仿宋_GB2312" w:eastAsia="仿宋_GB2312" w:hAnsi="宋体" w:cs="仿宋_GB2312" w:hint="eastAsia"/>
                <w:kern w:val="0"/>
                <w:sz w:val="24"/>
                <w:szCs w:val="24"/>
              </w:rPr>
              <w:t>按科研</w:t>
            </w:r>
            <w:proofErr w:type="gramEnd"/>
            <w:r w:rsidRPr="008A1638">
              <w:rPr>
                <w:rFonts w:ascii="仿宋_GB2312" w:eastAsia="仿宋_GB2312" w:hAnsi="宋体" w:cs="仿宋_GB2312" w:hint="eastAsia"/>
                <w:kern w:val="0"/>
                <w:sz w:val="24"/>
                <w:szCs w:val="24"/>
              </w:rPr>
              <w:t>成绩中论文分类计分</w:t>
            </w:r>
          </w:p>
        </w:tc>
        <w:tc>
          <w:tcPr>
            <w:tcW w:w="1985" w:type="dxa"/>
          </w:tcPr>
          <w:p w:rsidR="00C7361A" w:rsidRPr="008A1638" w:rsidRDefault="001E5D51"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20/15/10/5/3/1分</w:t>
            </w:r>
          </w:p>
        </w:tc>
        <w:tc>
          <w:tcPr>
            <w:tcW w:w="1417" w:type="dxa"/>
          </w:tcPr>
          <w:p w:rsidR="00C7361A" w:rsidRPr="008A1638" w:rsidRDefault="001E5D51"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6122E6">
        <w:tc>
          <w:tcPr>
            <w:tcW w:w="1419" w:type="dxa"/>
            <w:vMerge w:val="restart"/>
          </w:tcPr>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6122E6">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专业实践（50分）</w:t>
            </w:r>
          </w:p>
        </w:tc>
        <w:tc>
          <w:tcPr>
            <w:tcW w:w="850" w:type="dxa"/>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lastRenderedPageBreak/>
              <w:t>实践量</w:t>
            </w:r>
          </w:p>
        </w:tc>
        <w:tc>
          <w:tcPr>
            <w:tcW w:w="3260" w:type="dxa"/>
            <w:gridSpan w:val="2"/>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获得实践单位认可</w:t>
            </w:r>
            <w:r>
              <w:rPr>
                <w:rFonts w:ascii="仿宋_GB2312" w:eastAsia="仿宋_GB2312" w:hAnsi="宋体" w:cs="仿宋_GB2312" w:hint="eastAsia"/>
                <w:kern w:val="0"/>
                <w:sz w:val="24"/>
                <w:szCs w:val="24"/>
              </w:rPr>
              <w:t>，</w:t>
            </w:r>
            <w:r w:rsidRPr="008A1638">
              <w:rPr>
                <w:rFonts w:ascii="仿宋_GB2312" w:eastAsia="仿宋_GB2312" w:hAnsi="宋体" w:cs="仿宋_GB2312" w:hint="eastAsia"/>
                <w:kern w:val="0"/>
                <w:sz w:val="24"/>
                <w:szCs w:val="24"/>
              </w:rPr>
              <w:t>评价为优秀/良好/合格</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23F9E">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实践难度</w:t>
            </w:r>
          </w:p>
        </w:tc>
        <w:tc>
          <w:tcPr>
            <w:tcW w:w="3260" w:type="dxa"/>
            <w:gridSpan w:val="2"/>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完成实践任务的难度</w:t>
            </w:r>
            <w:r>
              <w:rPr>
                <w:rFonts w:ascii="仿宋_GB2312" w:eastAsia="仿宋_GB2312" w:hAnsi="宋体" w:cs="仿宋_GB2312" w:hint="eastAsia"/>
                <w:kern w:val="0"/>
                <w:sz w:val="24"/>
                <w:szCs w:val="24"/>
              </w:rPr>
              <w:t>，</w:t>
            </w:r>
            <w:r w:rsidRPr="008A1638">
              <w:rPr>
                <w:rFonts w:ascii="仿宋_GB2312" w:eastAsia="仿宋_GB2312" w:hAnsi="宋体" w:cs="仿宋_GB2312" w:hint="eastAsia"/>
                <w:kern w:val="0"/>
                <w:sz w:val="24"/>
                <w:szCs w:val="24"/>
              </w:rPr>
              <w:t>难度高/中/低</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r w:rsidRPr="008A1638">
              <w:rPr>
                <w:rFonts w:ascii="仿宋_GB2312" w:eastAsia="仿宋_GB2312" w:hAnsi="宋体" w:cs="仿宋_GB2312" w:hint="eastAsia"/>
                <w:kern w:val="0"/>
                <w:sz w:val="24"/>
                <w:szCs w:val="24"/>
              </w:rPr>
              <w:t> </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23F9E">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应用价值</w:t>
            </w:r>
          </w:p>
        </w:tc>
        <w:tc>
          <w:tcPr>
            <w:tcW w:w="3260" w:type="dxa"/>
            <w:gridSpan w:val="2"/>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学生的专业实践帮助实践单位解决或部分解决了业务中</w:t>
            </w:r>
            <w:r w:rsidRPr="008A1638">
              <w:rPr>
                <w:rFonts w:ascii="仿宋_GB2312" w:eastAsia="仿宋_GB2312" w:hAnsi="宋体" w:cs="仿宋_GB2312" w:hint="eastAsia"/>
                <w:kern w:val="0"/>
                <w:sz w:val="24"/>
                <w:szCs w:val="24"/>
              </w:rPr>
              <w:lastRenderedPageBreak/>
              <w:t>的实际问题</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lastRenderedPageBreak/>
              <w:t>5分/3分/1分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23F9E">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实践成果</w:t>
            </w:r>
          </w:p>
        </w:tc>
        <w:tc>
          <w:tcPr>
            <w:tcW w:w="3260" w:type="dxa"/>
            <w:gridSpan w:val="2"/>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实践成果被实践单位采纳</w:t>
            </w:r>
            <w:r>
              <w:rPr>
                <w:rFonts w:ascii="仿宋_GB2312" w:eastAsia="仿宋_GB2312" w:hAnsi="宋体" w:cs="仿宋_GB2312" w:hint="eastAsia"/>
                <w:kern w:val="0"/>
                <w:sz w:val="24"/>
                <w:szCs w:val="24"/>
              </w:rPr>
              <w:t>，</w:t>
            </w:r>
            <w:r w:rsidRPr="008A1638">
              <w:rPr>
                <w:rFonts w:ascii="仿宋_GB2312" w:eastAsia="仿宋_GB2312" w:hAnsi="宋体" w:cs="仿宋_GB2312" w:hint="eastAsia"/>
                <w:kern w:val="0"/>
                <w:sz w:val="24"/>
                <w:szCs w:val="24"/>
              </w:rPr>
              <w:t>得到好评</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65AF5">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vMerge w:val="restart"/>
          </w:tcPr>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F23F9E">
            <w:pPr>
              <w:widowControl/>
              <w:shd w:val="clear" w:color="auto" w:fill="FFFFFF"/>
              <w:spacing w:line="360" w:lineRule="auto"/>
              <w:jc w:val="center"/>
              <w:rPr>
                <w:rFonts w:ascii="仿宋_GB2312" w:eastAsia="仿宋_GB2312" w:hAnsi="宋体" w:cs="仿宋_GB2312"/>
                <w:kern w:val="0"/>
                <w:sz w:val="24"/>
                <w:szCs w:val="24"/>
              </w:rPr>
            </w:pPr>
          </w:p>
          <w:p w:rsidR="00F23F9E" w:rsidRDefault="00F23F9E" w:rsidP="00F23F9E">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p>
          <w:p w:rsidR="00F23F9E" w:rsidRPr="008A1638" w:rsidRDefault="00F23F9E"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实践奖项</w:t>
            </w:r>
          </w:p>
        </w:tc>
        <w:tc>
          <w:tcPr>
            <w:tcW w:w="1276" w:type="dxa"/>
            <w:vAlign w:val="center"/>
          </w:tcPr>
          <w:p w:rsidR="00F23F9E" w:rsidRPr="008A1638" w:rsidRDefault="00F23F9E" w:rsidP="00F65AF5">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团体奖项</w:t>
            </w:r>
          </w:p>
        </w:tc>
        <w:tc>
          <w:tcPr>
            <w:tcW w:w="1984" w:type="dxa"/>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实践成果获得奖项（国家级/地方级）</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65AF5">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vMerge/>
          </w:tcPr>
          <w:p w:rsidR="00F23F9E" w:rsidRPr="008A1638" w:rsidRDefault="00F23F9E" w:rsidP="00F23F9E">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1276" w:type="dxa"/>
            <w:vAlign w:val="center"/>
          </w:tcPr>
          <w:p w:rsidR="00F23F9E" w:rsidRPr="008A1638" w:rsidRDefault="00F23F9E" w:rsidP="00F65AF5">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个人奖项</w:t>
            </w:r>
          </w:p>
        </w:tc>
        <w:tc>
          <w:tcPr>
            <w:tcW w:w="1984" w:type="dxa"/>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在专业实践中因个人表现突出获得奖项（国家级/地方级）</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F23F9E" w:rsidRPr="004C2A50" w:rsidTr="00F65AF5">
        <w:tc>
          <w:tcPr>
            <w:tcW w:w="1419" w:type="dxa"/>
            <w:vMerge/>
          </w:tcPr>
          <w:p w:rsidR="00F23F9E" w:rsidRPr="008A1638" w:rsidRDefault="00F23F9E"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vMerge/>
          </w:tcPr>
          <w:p w:rsidR="00F23F9E" w:rsidRPr="008A1638" w:rsidRDefault="00F23F9E" w:rsidP="00F23F9E">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1276" w:type="dxa"/>
            <w:vAlign w:val="center"/>
          </w:tcPr>
          <w:p w:rsidR="00F23F9E" w:rsidRPr="008A1638" w:rsidRDefault="00F23F9E" w:rsidP="00F65AF5">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资格证书</w:t>
            </w:r>
          </w:p>
        </w:tc>
        <w:tc>
          <w:tcPr>
            <w:tcW w:w="1984" w:type="dxa"/>
          </w:tcPr>
          <w:p w:rsidR="00F23F9E" w:rsidRPr="008A1638" w:rsidRDefault="00F23F9E"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取得该专业学位类别对应职业资格证书</w:t>
            </w:r>
          </w:p>
        </w:tc>
        <w:tc>
          <w:tcPr>
            <w:tcW w:w="1985" w:type="dxa"/>
          </w:tcPr>
          <w:p w:rsidR="00F23F9E" w:rsidRPr="008A1638" w:rsidRDefault="00F23F9E"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F23F9E" w:rsidRPr="008A1638" w:rsidRDefault="00F23F9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1E5D51" w:rsidRPr="004C2A50" w:rsidTr="00F23F9E">
        <w:tc>
          <w:tcPr>
            <w:tcW w:w="1419" w:type="dxa"/>
            <w:vMerge w:val="restart"/>
          </w:tcPr>
          <w:p w:rsidR="004C2A50" w:rsidRPr="008A1638" w:rsidRDefault="004C2A50" w:rsidP="004C2A50">
            <w:pPr>
              <w:widowControl/>
              <w:shd w:val="clear" w:color="auto" w:fill="FFFFFF"/>
              <w:spacing w:line="360" w:lineRule="auto"/>
              <w:rPr>
                <w:rFonts w:ascii="仿宋_GB2312" w:eastAsia="仿宋_GB2312" w:hAnsi="宋体" w:cs="仿宋_GB2312"/>
                <w:kern w:val="0"/>
                <w:sz w:val="24"/>
                <w:szCs w:val="24"/>
              </w:rPr>
            </w:pPr>
          </w:p>
          <w:p w:rsidR="004C2A50" w:rsidRPr="008A1638" w:rsidRDefault="004C2A50" w:rsidP="004C2A50">
            <w:pPr>
              <w:widowControl/>
              <w:shd w:val="clear" w:color="auto" w:fill="FFFFFF"/>
              <w:spacing w:line="360" w:lineRule="auto"/>
              <w:rPr>
                <w:rFonts w:ascii="仿宋_GB2312" w:eastAsia="仿宋_GB2312" w:hAnsi="宋体" w:cs="仿宋_GB2312"/>
                <w:kern w:val="0"/>
                <w:sz w:val="24"/>
                <w:szCs w:val="24"/>
              </w:rPr>
            </w:pPr>
          </w:p>
          <w:p w:rsidR="00F23F9E" w:rsidRPr="008A1638" w:rsidRDefault="00F23F9E" w:rsidP="004C2A50">
            <w:pPr>
              <w:widowControl/>
              <w:shd w:val="clear" w:color="auto" w:fill="FFFFFF"/>
              <w:spacing w:line="360" w:lineRule="auto"/>
              <w:rPr>
                <w:rFonts w:ascii="仿宋_GB2312" w:eastAsia="仿宋_GB2312" w:hAnsi="宋体" w:cs="仿宋_GB2312"/>
                <w:kern w:val="0"/>
                <w:sz w:val="24"/>
                <w:szCs w:val="24"/>
              </w:rPr>
            </w:pPr>
          </w:p>
          <w:p w:rsidR="001E5D51" w:rsidRPr="008A1638" w:rsidRDefault="001E5D51" w:rsidP="004C2A50">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社会实践（20分）</w:t>
            </w:r>
          </w:p>
        </w:tc>
        <w:tc>
          <w:tcPr>
            <w:tcW w:w="850" w:type="dxa"/>
          </w:tcPr>
          <w:p w:rsidR="001E5D51" w:rsidRPr="008A1638" w:rsidRDefault="001E5D51"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实践量</w:t>
            </w:r>
          </w:p>
        </w:tc>
        <w:tc>
          <w:tcPr>
            <w:tcW w:w="3260" w:type="dxa"/>
            <w:gridSpan w:val="2"/>
          </w:tcPr>
          <w:p w:rsidR="001E5D51" w:rsidRPr="008A1638" w:rsidRDefault="009D1667"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积极参加社会实践活动，评价为优秀/良好/合格</w:t>
            </w:r>
          </w:p>
        </w:tc>
        <w:tc>
          <w:tcPr>
            <w:tcW w:w="1985" w:type="dxa"/>
          </w:tcPr>
          <w:p w:rsidR="001E5D51" w:rsidRPr="008A1638" w:rsidRDefault="009D1667"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10分/5分/3分</w:t>
            </w:r>
          </w:p>
        </w:tc>
        <w:tc>
          <w:tcPr>
            <w:tcW w:w="1417" w:type="dxa"/>
          </w:tcPr>
          <w:p w:rsidR="001E5D51" w:rsidRPr="008A1638" w:rsidRDefault="00583DB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1E5D51" w:rsidRPr="004C2A50" w:rsidTr="00F23F9E">
        <w:tc>
          <w:tcPr>
            <w:tcW w:w="1419" w:type="dxa"/>
            <w:vMerge/>
          </w:tcPr>
          <w:p w:rsidR="001E5D51" w:rsidRPr="008A1638" w:rsidRDefault="001E5D51"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1E5D51" w:rsidRPr="008A1638" w:rsidRDefault="001E5D51"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实践成果</w:t>
            </w:r>
          </w:p>
        </w:tc>
        <w:tc>
          <w:tcPr>
            <w:tcW w:w="3260" w:type="dxa"/>
            <w:gridSpan w:val="2"/>
          </w:tcPr>
          <w:p w:rsidR="001E5D51" w:rsidRPr="008A1638" w:rsidRDefault="009D1667"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学生的实践帮助实践单位解决或部分解决了业务中的实际问题</w:t>
            </w:r>
          </w:p>
        </w:tc>
        <w:tc>
          <w:tcPr>
            <w:tcW w:w="1985" w:type="dxa"/>
          </w:tcPr>
          <w:p w:rsidR="001E5D51" w:rsidRPr="008A1638" w:rsidRDefault="009D1667"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1E5D51" w:rsidRPr="008A1638" w:rsidRDefault="00583DB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r w:rsidR="001E5D51" w:rsidRPr="004C2A50" w:rsidTr="00F23F9E">
        <w:tc>
          <w:tcPr>
            <w:tcW w:w="1419" w:type="dxa"/>
            <w:vMerge/>
          </w:tcPr>
          <w:p w:rsidR="001E5D51" w:rsidRPr="008A1638" w:rsidRDefault="001E5D51" w:rsidP="008A1638">
            <w:pPr>
              <w:widowControl/>
              <w:shd w:val="clear" w:color="auto" w:fill="FFFFFF"/>
              <w:spacing w:line="360" w:lineRule="auto"/>
              <w:ind w:firstLineChars="196" w:firstLine="470"/>
              <w:jc w:val="center"/>
              <w:rPr>
                <w:rFonts w:ascii="仿宋_GB2312" w:eastAsia="仿宋_GB2312" w:hAnsi="宋体" w:cs="仿宋_GB2312"/>
                <w:kern w:val="0"/>
                <w:sz w:val="24"/>
                <w:szCs w:val="24"/>
              </w:rPr>
            </w:pPr>
          </w:p>
        </w:tc>
        <w:tc>
          <w:tcPr>
            <w:tcW w:w="850" w:type="dxa"/>
          </w:tcPr>
          <w:p w:rsidR="001E5D51" w:rsidRPr="008A1638" w:rsidRDefault="001E5D51" w:rsidP="00F23F9E">
            <w:pPr>
              <w:widowControl/>
              <w:shd w:val="clear" w:color="auto" w:fill="FFFFFF"/>
              <w:spacing w:line="360" w:lineRule="auto"/>
              <w:jc w:val="center"/>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实践奖项</w:t>
            </w:r>
          </w:p>
        </w:tc>
        <w:tc>
          <w:tcPr>
            <w:tcW w:w="3260" w:type="dxa"/>
            <w:gridSpan w:val="2"/>
          </w:tcPr>
          <w:p w:rsidR="001E5D51" w:rsidRPr="008A1638" w:rsidRDefault="009D1667" w:rsidP="00F23F9E">
            <w:pPr>
              <w:widowControl/>
              <w:shd w:val="clear" w:color="auto" w:fill="FFFFFF"/>
              <w:spacing w:line="360" w:lineRule="auto"/>
              <w:jc w:val="left"/>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在社会实践中因个人表现突出获得奖项（国家级/地方级）</w:t>
            </w:r>
          </w:p>
        </w:tc>
        <w:tc>
          <w:tcPr>
            <w:tcW w:w="1985" w:type="dxa"/>
          </w:tcPr>
          <w:p w:rsidR="001E5D51" w:rsidRPr="008A1638" w:rsidRDefault="009D1667" w:rsidP="00F23F9E">
            <w:pPr>
              <w:widowControl/>
              <w:shd w:val="clear" w:color="auto" w:fill="FFFFFF"/>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5分/3分/1分</w:t>
            </w:r>
          </w:p>
        </w:tc>
        <w:tc>
          <w:tcPr>
            <w:tcW w:w="1417" w:type="dxa"/>
          </w:tcPr>
          <w:p w:rsidR="001E5D51" w:rsidRPr="008A1638" w:rsidRDefault="00583DBE" w:rsidP="00716A6B">
            <w:pPr>
              <w:widowControl/>
              <w:spacing w:line="360" w:lineRule="auto"/>
              <w:rPr>
                <w:rFonts w:ascii="仿宋_GB2312" w:eastAsia="仿宋_GB2312" w:hAnsi="宋体" w:cs="仿宋_GB2312"/>
                <w:kern w:val="0"/>
                <w:sz w:val="24"/>
                <w:szCs w:val="24"/>
              </w:rPr>
            </w:pPr>
            <w:r w:rsidRPr="008A1638">
              <w:rPr>
                <w:rFonts w:ascii="仿宋_GB2312" w:eastAsia="仿宋_GB2312" w:hAnsi="宋体" w:cs="仿宋_GB2312" w:hint="eastAsia"/>
                <w:kern w:val="0"/>
                <w:sz w:val="24"/>
                <w:szCs w:val="24"/>
              </w:rPr>
              <w:t>由院系认定</w:t>
            </w:r>
          </w:p>
        </w:tc>
      </w:tr>
    </w:tbl>
    <w:p w:rsidR="00F23F9E" w:rsidRDefault="00097A45" w:rsidP="00716A6B">
      <w:pPr>
        <w:widowControl/>
        <w:shd w:val="clear" w:color="auto" w:fill="FFFFFF"/>
        <w:spacing w:line="360" w:lineRule="auto"/>
        <w:rPr>
          <w:rFonts w:ascii="仿宋_GB2312" w:eastAsia="仿宋_GB2312" w:hAnsi="宋体" w:cs="仿宋_GB2312"/>
          <w:kern w:val="0"/>
          <w:sz w:val="24"/>
          <w:szCs w:val="24"/>
        </w:rPr>
      </w:pPr>
      <w:r w:rsidRPr="00F23F9E">
        <w:rPr>
          <w:rFonts w:ascii="仿宋_GB2312" w:eastAsia="仿宋_GB2312" w:hAnsi="宋体" w:cs="仿宋_GB2312"/>
          <w:kern w:val="0"/>
          <w:sz w:val="24"/>
          <w:szCs w:val="24"/>
        </w:rPr>
        <w:t>注：实践环节采取答辩形式，由学院专家小组进行认定。</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第十条 新生评选指标及办法</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按照国家及学校文件精神，新生国家奖学金实行差额评选办法。硕士研究生新生需满足以下申请条件，由本人提交申请，学院研究生国家奖学金评审工作领导小组和评审专家小组组织评选并公示。</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（一）硕士研究生新生参评条件</w:t>
      </w:r>
    </w:p>
    <w:p w:rsidR="007472FA" w:rsidRPr="007E3775" w:rsidRDefault="007472FA" w:rsidP="00AF3E5C">
      <w:pPr>
        <w:widowControl/>
        <w:shd w:val="clear" w:color="auto" w:fill="FFFFFF"/>
        <w:spacing w:line="360" w:lineRule="auto"/>
        <w:ind w:firstLineChars="200" w:firstLine="640"/>
        <w:rPr>
          <w:rFonts w:ascii="仿宋_GB2312" w:eastAsia="仿宋_GB2312" w:hAnsi="宋体" w:cs="仿宋_GB2312"/>
          <w:kern w:val="0"/>
          <w:sz w:val="32"/>
          <w:szCs w:val="32"/>
        </w:rPr>
      </w:pPr>
      <w:r w:rsidRPr="00AF3E5C">
        <w:rPr>
          <w:rFonts w:ascii="仿宋_GB2312" w:eastAsia="仿宋_GB2312" w:hAnsi="宋体" w:cs="仿宋_GB2312" w:hint="eastAsia"/>
          <w:color w:val="000000" w:themeColor="text1"/>
          <w:kern w:val="0"/>
          <w:sz w:val="32"/>
          <w:szCs w:val="32"/>
        </w:rPr>
        <w:lastRenderedPageBreak/>
        <w:t>1</w:t>
      </w:r>
      <w:r w:rsidR="00AF3E5C" w:rsidRPr="00AF3E5C">
        <w:rPr>
          <w:rFonts w:ascii="仿宋_GB2312" w:eastAsia="仿宋_GB2312" w:hAnsi="宋体" w:cs="仿宋_GB2312" w:hint="eastAsia"/>
          <w:color w:val="000000" w:themeColor="text1"/>
          <w:kern w:val="0"/>
          <w:sz w:val="32"/>
          <w:szCs w:val="32"/>
        </w:rPr>
        <w:t>、推荐免试攻读硕士学位</w:t>
      </w:r>
      <w:r w:rsidRPr="00AF3E5C">
        <w:rPr>
          <w:rFonts w:ascii="仿宋_GB2312" w:eastAsia="仿宋_GB2312" w:hAnsi="宋体" w:cs="仿宋_GB2312" w:hint="eastAsia"/>
          <w:color w:val="000000" w:themeColor="text1"/>
          <w:kern w:val="0"/>
          <w:sz w:val="32"/>
          <w:szCs w:val="32"/>
        </w:rPr>
        <w:t>且</w:t>
      </w:r>
      <w:r w:rsidRPr="007E3775">
        <w:rPr>
          <w:rFonts w:ascii="仿宋_GB2312" w:eastAsia="仿宋_GB2312" w:hAnsi="宋体" w:cs="仿宋_GB2312" w:hint="eastAsia"/>
          <w:kern w:val="0"/>
          <w:sz w:val="32"/>
          <w:szCs w:val="32"/>
        </w:rPr>
        <w:t>复试总成绩排名各专业前20%的研究生；</w:t>
      </w:r>
    </w:p>
    <w:p w:rsidR="00097A45" w:rsidRPr="007E3775" w:rsidRDefault="007472FA"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hint="eastAsia"/>
          <w:kern w:val="0"/>
          <w:sz w:val="32"/>
          <w:szCs w:val="32"/>
        </w:rPr>
        <w:t>2</w:t>
      </w:r>
      <w:r w:rsidR="00097A45" w:rsidRPr="007E3775">
        <w:rPr>
          <w:rFonts w:ascii="仿宋_GB2312" w:eastAsia="仿宋_GB2312" w:hAnsi="宋体" w:cs="仿宋_GB2312"/>
          <w:kern w:val="0"/>
          <w:sz w:val="32"/>
          <w:szCs w:val="32"/>
        </w:rPr>
        <w:t>、大学期间获得以下成果之一可申报：</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（1）本科期间获得国家奖学金；</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（2）获得国家级学术科技竞赛（见附件1）特等、一等（金奖）和二等奖（银奖），其中特等奖排序前3名，一等奖排序前2名，二等奖排序第1名；</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（3）获得省级学术科技竞赛特等奖排序前2名或大学生创业计划竞赛金奖排序第1名；</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（4）参与完成大学生创新创业训练计划项目（或大学生创新性实验计划项目），并以第一作者在SCI、EI、SSCI或国家一级学会主办的学术研究期刊发表论文（以学校公布的国内A类学术期刊名录为准，见附件2）；</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（5）结合大学生创新创业训练计划项目（或大学生创新性实验计划项目）或国家级学科竞赛项目，以第一完成人申请并获国家授权发明专利。</w:t>
      </w:r>
    </w:p>
    <w:p w:rsidR="00097A45" w:rsidRPr="007E3775" w:rsidRDefault="00097A45" w:rsidP="007E3775">
      <w:pPr>
        <w:widowControl/>
        <w:shd w:val="clear" w:color="auto" w:fill="FFFFFF"/>
        <w:spacing w:line="360" w:lineRule="auto"/>
        <w:ind w:firstLineChars="200" w:firstLine="640"/>
        <w:rPr>
          <w:rFonts w:ascii="仿宋_GB2312" w:eastAsia="仿宋_GB2312" w:hAnsi="宋体" w:cs="仿宋_GB2312"/>
          <w:kern w:val="0"/>
          <w:sz w:val="32"/>
          <w:szCs w:val="32"/>
        </w:rPr>
      </w:pPr>
      <w:r w:rsidRPr="007E3775">
        <w:rPr>
          <w:rFonts w:ascii="仿宋_GB2312" w:eastAsia="仿宋_GB2312" w:hAnsi="宋体" w:cs="仿宋_GB2312"/>
          <w:kern w:val="0"/>
          <w:sz w:val="32"/>
          <w:szCs w:val="32"/>
        </w:rPr>
        <w:t>（二）博士研究生新生参评条件</w:t>
      </w:r>
    </w:p>
    <w:p w:rsidR="00097A45" w:rsidRDefault="00097A45" w:rsidP="007E3775">
      <w:pPr>
        <w:widowControl/>
        <w:shd w:val="clear" w:color="auto" w:fill="FFFFFF"/>
        <w:spacing w:line="360" w:lineRule="auto"/>
        <w:ind w:firstLineChars="200" w:firstLine="640"/>
        <w:rPr>
          <w:rFonts w:ascii="仿宋_GB2312" w:eastAsia="仿宋_GB2312" w:hAnsi="宋体" w:cs="仿宋_GB2312"/>
          <w:b/>
          <w:color w:val="FF0000"/>
          <w:kern w:val="0"/>
          <w:sz w:val="32"/>
          <w:szCs w:val="32"/>
        </w:rPr>
      </w:pPr>
      <w:r w:rsidRPr="007E3775">
        <w:rPr>
          <w:rFonts w:ascii="仿宋_GB2312" w:eastAsia="仿宋_GB2312" w:hAnsi="宋体" w:cs="仿宋_GB2312"/>
          <w:kern w:val="0"/>
          <w:sz w:val="32"/>
          <w:szCs w:val="32"/>
        </w:rPr>
        <w:t>重点考察其硕士研究生阶段取得的科研成果，具体评分标准参照学术型研究生评选</w:t>
      </w:r>
      <w:r w:rsidRPr="007E3775">
        <w:rPr>
          <w:rFonts w:ascii="仿宋_GB2312" w:eastAsia="仿宋_GB2312" w:hAnsi="宋体" w:cs="仿宋_GB2312"/>
          <w:color w:val="000000" w:themeColor="text1"/>
          <w:kern w:val="0"/>
          <w:sz w:val="32"/>
          <w:szCs w:val="32"/>
        </w:rPr>
        <w:t>办法。</w:t>
      </w:r>
      <w:r w:rsidR="00DC2B2C" w:rsidRPr="00AF3E5C">
        <w:rPr>
          <w:rFonts w:ascii="仿宋_GB2312" w:eastAsia="仿宋_GB2312" w:hAnsi="宋体" w:cs="仿宋_GB2312" w:hint="eastAsia"/>
          <w:color w:val="000000" w:themeColor="text1"/>
          <w:kern w:val="0"/>
          <w:sz w:val="32"/>
          <w:szCs w:val="32"/>
        </w:rPr>
        <w:t>博士研究生</w:t>
      </w:r>
      <w:r w:rsidR="00903207" w:rsidRPr="00AF3E5C">
        <w:rPr>
          <w:rFonts w:ascii="仿宋_GB2312" w:eastAsia="仿宋_GB2312" w:hAnsi="宋体" w:cs="仿宋_GB2312" w:hint="eastAsia"/>
          <w:color w:val="000000" w:themeColor="text1"/>
          <w:kern w:val="0"/>
          <w:sz w:val="32"/>
          <w:szCs w:val="32"/>
        </w:rPr>
        <w:t>新生</w:t>
      </w:r>
      <w:r w:rsidR="00DC2B2C" w:rsidRPr="00AF3E5C">
        <w:rPr>
          <w:rFonts w:ascii="仿宋_GB2312" w:eastAsia="仿宋_GB2312" w:hAnsi="宋体" w:cs="仿宋_GB2312" w:hint="eastAsia"/>
          <w:color w:val="000000" w:themeColor="text1"/>
          <w:kern w:val="0"/>
          <w:sz w:val="32"/>
          <w:szCs w:val="32"/>
        </w:rPr>
        <w:t>在</w:t>
      </w:r>
      <w:r w:rsidR="00903207" w:rsidRPr="00AF3E5C">
        <w:rPr>
          <w:rFonts w:ascii="仿宋_GB2312" w:eastAsia="仿宋_GB2312" w:hAnsi="宋体" w:cs="仿宋_GB2312" w:hint="eastAsia"/>
          <w:color w:val="000000" w:themeColor="text1"/>
          <w:kern w:val="0"/>
          <w:sz w:val="32"/>
          <w:szCs w:val="32"/>
        </w:rPr>
        <w:t>其硕士阶段</w:t>
      </w:r>
      <w:r w:rsidR="00374791" w:rsidRPr="00AF3E5C">
        <w:rPr>
          <w:rFonts w:ascii="仿宋_GB2312" w:eastAsia="仿宋_GB2312" w:hAnsi="宋体" w:cs="仿宋_GB2312" w:hint="eastAsia"/>
          <w:color w:val="000000" w:themeColor="text1"/>
          <w:kern w:val="0"/>
          <w:sz w:val="32"/>
          <w:szCs w:val="32"/>
        </w:rPr>
        <w:t>获取过各类奖学金，</w:t>
      </w:r>
      <w:r w:rsidR="00903207" w:rsidRPr="00AF3E5C">
        <w:rPr>
          <w:rFonts w:ascii="仿宋_GB2312" w:eastAsia="仿宋_GB2312" w:hAnsi="宋体" w:cs="仿宋_GB2312" w:hint="eastAsia"/>
          <w:color w:val="000000" w:themeColor="text1"/>
          <w:kern w:val="0"/>
          <w:sz w:val="32"/>
          <w:szCs w:val="32"/>
        </w:rPr>
        <w:t>获奖成果不可重复申报使用。</w:t>
      </w:r>
    </w:p>
    <w:p w:rsidR="00097A45" w:rsidRPr="007E3775" w:rsidRDefault="00097A45" w:rsidP="007E3775">
      <w:pPr>
        <w:widowControl/>
        <w:shd w:val="clear" w:color="auto" w:fill="FFFFFF"/>
        <w:spacing w:line="360" w:lineRule="auto"/>
        <w:ind w:firstLineChars="196" w:firstLine="708"/>
        <w:jc w:val="center"/>
        <w:rPr>
          <w:rFonts w:asciiTheme="majorEastAsia" w:eastAsiaTheme="majorEastAsia" w:hAnsiTheme="majorEastAsia" w:cs="仿宋_GB2312"/>
          <w:b/>
          <w:kern w:val="0"/>
          <w:sz w:val="36"/>
          <w:szCs w:val="36"/>
        </w:rPr>
      </w:pPr>
      <w:bookmarkStart w:id="0" w:name="_GoBack"/>
      <w:bookmarkEnd w:id="0"/>
      <w:r w:rsidRPr="007E3775">
        <w:rPr>
          <w:rFonts w:asciiTheme="majorEastAsia" w:eastAsiaTheme="majorEastAsia" w:hAnsiTheme="majorEastAsia" w:cs="仿宋_GB2312"/>
          <w:b/>
          <w:kern w:val="0"/>
          <w:sz w:val="36"/>
          <w:szCs w:val="36"/>
        </w:rPr>
        <w:t>第四章 评审程序</w:t>
      </w:r>
    </w:p>
    <w:p w:rsidR="00185E86" w:rsidRP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lastRenderedPageBreak/>
        <w:t>第十一条 研究生国家奖学金的评审采取学生个人自主申报、学院研究生国家奖学金评定工作小组评初评推荐、学校复核、学校评审领导小组审定的工作程序。</w:t>
      </w:r>
    </w:p>
    <w:p w:rsidR="00185E86" w:rsidRP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t>第十二条 本人申请。申请研究生如实填写研究生国家奖学金申请审批表并提供有关证明材料，同时需提交课程学习成绩单、科研成果证明及获奖证书原件和复印件等材料，经导师签署意见后向学院提出申请。</w:t>
      </w:r>
    </w:p>
    <w:p w:rsidR="00185E86" w:rsidRP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t>第十三条 学院评审。研究生国家奖学金评定工作小组负责审定推荐人员名单，评审结果在学院公示5天，公示无异议后提交学校审定。</w:t>
      </w:r>
    </w:p>
    <w:p w:rsidR="00185E86" w:rsidRP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t>第十四条 学校审定。学校研究生国家奖学金审定工作领导小组对学院的评审结果进行审定，审定结果在校内公示5天，对公示无异议者上报教育部审批。</w:t>
      </w:r>
    </w:p>
    <w:p w:rsidR="00185E86" w:rsidRP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t>第十五条 研究生在基本学制年限内，可多次获得研究生国家奖学金，但获奖成果不可重复申报使用。超出基本学制年限的研究生，不再具备研究生国家奖学金参评资格。</w:t>
      </w:r>
    </w:p>
    <w:p w:rsidR="00185E86" w:rsidRP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t>第十六条 硕博连读研究生在注册为博士研究生之前按照硕士研究生身份申请国家奖学金，注册为博士研究生后按照博士研究生身份申请国家奖学金；</w:t>
      </w:r>
      <w:proofErr w:type="gramStart"/>
      <w:r w:rsidRPr="00185E86">
        <w:rPr>
          <w:rFonts w:ascii="仿宋_GB2312" w:eastAsia="仿宋_GB2312" w:hAnsi="宋体" w:cs="仿宋_GB2312" w:hint="eastAsia"/>
          <w:kern w:val="0"/>
          <w:sz w:val="32"/>
          <w:szCs w:val="32"/>
        </w:rPr>
        <w:t>直博生享受</w:t>
      </w:r>
      <w:proofErr w:type="gramEnd"/>
      <w:r w:rsidRPr="00185E86">
        <w:rPr>
          <w:rFonts w:ascii="仿宋_GB2312" w:eastAsia="仿宋_GB2312" w:hAnsi="宋体" w:cs="仿宋_GB2312" w:hint="eastAsia"/>
          <w:kern w:val="0"/>
          <w:sz w:val="32"/>
          <w:szCs w:val="32"/>
        </w:rPr>
        <w:t>硕士研究生待遇的按照硕士研究生身份参与评定，享受博士研究生待遇的按照博士研究生身份参与评定。</w:t>
      </w:r>
    </w:p>
    <w:p w:rsid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lastRenderedPageBreak/>
        <w:t>第十七条 因国家和学校公派出国联合培养或校际交流且具有我校学籍的研究生，仍具备研究生国家奖学金参评资格。</w:t>
      </w:r>
    </w:p>
    <w:p w:rsidR="00185E86" w:rsidRPr="007E3775" w:rsidRDefault="00185E86" w:rsidP="00185E86">
      <w:pPr>
        <w:widowControl/>
        <w:shd w:val="clear" w:color="auto" w:fill="FFFFFF"/>
        <w:spacing w:line="360" w:lineRule="auto"/>
        <w:ind w:firstLineChars="196" w:firstLine="708"/>
        <w:jc w:val="center"/>
        <w:rPr>
          <w:rFonts w:asciiTheme="majorEastAsia" w:eastAsiaTheme="majorEastAsia" w:hAnsiTheme="majorEastAsia" w:cs="仿宋_GB2312"/>
          <w:b/>
          <w:kern w:val="0"/>
          <w:sz w:val="36"/>
          <w:szCs w:val="36"/>
        </w:rPr>
      </w:pPr>
      <w:r w:rsidRPr="007E3775">
        <w:rPr>
          <w:rFonts w:asciiTheme="majorEastAsia" w:eastAsiaTheme="majorEastAsia" w:hAnsiTheme="majorEastAsia" w:cs="仿宋_GB2312"/>
          <w:b/>
          <w:kern w:val="0"/>
          <w:sz w:val="36"/>
          <w:szCs w:val="36"/>
        </w:rPr>
        <w:t>第五章 其他事项</w:t>
      </w:r>
    </w:p>
    <w:p w:rsidR="00185E86" w:rsidRP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t>第十八条 对研究生国家奖学金评审结果有异议的学生，在学院公示阶段，可向学院研究生国家奖学金评定工作小组反映；在学校公示阶段，可向校研究生国家奖学金评审领导小组反映。</w:t>
      </w:r>
    </w:p>
    <w:p w:rsidR="00185E86" w:rsidRP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t>第十九条 在研究生国家奖学金评审过程中，若研究生本人有违反学术纪律或弄虚作假行为，取消该生在校期间国家奖学金及其他奖学金的评审资格，追回全部奖学金，并根据情节轻重给予相应处分。</w:t>
      </w:r>
    </w:p>
    <w:p w:rsidR="00185E86" w:rsidRPr="00185E86" w:rsidRDefault="00185E86" w:rsidP="00185E86">
      <w:pPr>
        <w:widowControl/>
        <w:shd w:val="clear" w:color="auto" w:fill="FFFFFF"/>
        <w:spacing w:line="360" w:lineRule="auto"/>
        <w:ind w:firstLineChars="200" w:firstLine="640"/>
        <w:rPr>
          <w:rFonts w:ascii="仿宋_GB2312" w:eastAsia="仿宋_GB2312" w:hAnsi="宋体" w:cs="仿宋_GB2312" w:hint="eastAsia"/>
          <w:kern w:val="0"/>
          <w:sz w:val="32"/>
          <w:szCs w:val="32"/>
        </w:rPr>
      </w:pPr>
      <w:r w:rsidRPr="00185E86">
        <w:rPr>
          <w:rFonts w:ascii="仿宋_GB2312" w:eastAsia="仿宋_GB2312" w:hAnsi="宋体" w:cs="仿宋_GB2312" w:hint="eastAsia"/>
          <w:kern w:val="0"/>
          <w:sz w:val="32"/>
          <w:szCs w:val="32"/>
        </w:rPr>
        <w:t>第二十条 研究生国家奖学金的成果材料计算时间（论文、专利、课题等）以学校通知为准，未明事宜或以学校文件冲突，以学校文件为准。</w:t>
      </w:r>
    </w:p>
    <w:p w:rsidR="007A0385" w:rsidRDefault="00185E86" w:rsidP="00185E86">
      <w:pPr>
        <w:widowControl/>
        <w:shd w:val="clear" w:color="auto" w:fill="FFFFFF"/>
        <w:spacing w:line="360" w:lineRule="auto"/>
        <w:ind w:firstLineChars="200" w:firstLine="640"/>
        <w:rPr>
          <w:rFonts w:ascii="仿宋_GB2312" w:eastAsia="仿宋_GB2312" w:hAnsi="宋体" w:cs="仿宋_GB2312"/>
          <w:kern w:val="0"/>
          <w:sz w:val="32"/>
          <w:szCs w:val="32"/>
        </w:rPr>
      </w:pPr>
      <w:r w:rsidRPr="00185E86">
        <w:rPr>
          <w:rFonts w:ascii="仿宋_GB2312" w:eastAsia="仿宋_GB2312" w:hAnsi="宋体" w:cs="仿宋_GB2312" w:hint="eastAsia"/>
          <w:kern w:val="0"/>
          <w:sz w:val="32"/>
          <w:szCs w:val="32"/>
        </w:rPr>
        <w:t>第二十一条 本办法自下发之日起施行，由西北农林科技大学食品科学与工程学院研究生国家奖学金评定工作小组负责解释，工作小组每年可对评选办法进行修订，修订后按最新办法执行。</w:t>
      </w:r>
    </w:p>
    <w:sectPr w:rsidR="007A0385" w:rsidSect="00DE50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576" w:rsidRDefault="00371576" w:rsidP="007A0385">
      <w:r>
        <w:separator/>
      </w:r>
    </w:p>
  </w:endnote>
  <w:endnote w:type="continuationSeparator" w:id="0">
    <w:p w:rsidR="00371576" w:rsidRDefault="00371576" w:rsidP="007A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576" w:rsidRDefault="00371576" w:rsidP="007A0385">
      <w:r>
        <w:separator/>
      </w:r>
    </w:p>
  </w:footnote>
  <w:footnote w:type="continuationSeparator" w:id="0">
    <w:p w:rsidR="00371576" w:rsidRDefault="00371576" w:rsidP="007A0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21"/>
    <w:rsid w:val="00001C52"/>
    <w:rsid w:val="00027D1E"/>
    <w:rsid w:val="0003426E"/>
    <w:rsid w:val="00055790"/>
    <w:rsid w:val="00055968"/>
    <w:rsid w:val="00090A04"/>
    <w:rsid w:val="00097A45"/>
    <w:rsid w:val="000B6AE8"/>
    <w:rsid w:val="000D3697"/>
    <w:rsid w:val="00135267"/>
    <w:rsid w:val="00142FBA"/>
    <w:rsid w:val="0015098B"/>
    <w:rsid w:val="00151BFD"/>
    <w:rsid w:val="00165F69"/>
    <w:rsid w:val="001830E0"/>
    <w:rsid w:val="00185E86"/>
    <w:rsid w:val="001B0F2D"/>
    <w:rsid w:val="001B5E9E"/>
    <w:rsid w:val="001B7A73"/>
    <w:rsid w:val="001D4A36"/>
    <w:rsid w:val="001D58F6"/>
    <w:rsid w:val="001D78A6"/>
    <w:rsid w:val="001E5D51"/>
    <w:rsid w:val="00244A61"/>
    <w:rsid w:val="00247A4D"/>
    <w:rsid w:val="00286AE7"/>
    <w:rsid w:val="002B5759"/>
    <w:rsid w:val="002C559E"/>
    <w:rsid w:val="002D2101"/>
    <w:rsid w:val="002D3875"/>
    <w:rsid w:val="00346F7E"/>
    <w:rsid w:val="00371576"/>
    <w:rsid w:val="00374791"/>
    <w:rsid w:val="00395488"/>
    <w:rsid w:val="003B77E2"/>
    <w:rsid w:val="003C1959"/>
    <w:rsid w:val="00444B21"/>
    <w:rsid w:val="004633E3"/>
    <w:rsid w:val="00466C55"/>
    <w:rsid w:val="00472328"/>
    <w:rsid w:val="004A06AC"/>
    <w:rsid w:val="004C2A50"/>
    <w:rsid w:val="004C51A4"/>
    <w:rsid w:val="004D1D1C"/>
    <w:rsid w:val="005548E1"/>
    <w:rsid w:val="00577971"/>
    <w:rsid w:val="00583DBE"/>
    <w:rsid w:val="005C05B3"/>
    <w:rsid w:val="005C282C"/>
    <w:rsid w:val="006122E6"/>
    <w:rsid w:val="00651C7D"/>
    <w:rsid w:val="00692806"/>
    <w:rsid w:val="006946F1"/>
    <w:rsid w:val="006D440C"/>
    <w:rsid w:val="006D703A"/>
    <w:rsid w:val="006E16F6"/>
    <w:rsid w:val="00716A6B"/>
    <w:rsid w:val="00721EF7"/>
    <w:rsid w:val="007401A9"/>
    <w:rsid w:val="007472FA"/>
    <w:rsid w:val="00771D1B"/>
    <w:rsid w:val="00795B6A"/>
    <w:rsid w:val="007A0385"/>
    <w:rsid w:val="007A7600"/>
    <w:rsid w:val="007B6E06"/>
    <w:rsid w:val="007E3775"/>
    <w:rsid w:val="0087243F"/>
    <w:rsid w:val="0089446D"/>
    <w:rsid w:val="008A1638"/>
    <w:rsid w:val="008C111B"/>
    <w:rsid w:val="00903207"/>
    <w:rsid w:val="00930BCE"/>
    <w:rsid w:val="00943A0E"/>
    <w:rsid w:val="0098290E"/>
    <w:rsid w:val="009D1667"/>
    <w:rsid w:val="009F458F"/>
    <w:rsid w:val="00A47F6B"/>
    <w:rsid w:val="00A730D8"/>
    <w:rsid w:val="00A91AB6"/>
    <w:rsid w:val="00A97598"/>
    <w:rsid w:val="00AD5E63"/>
    <w:rsid w:val="00AE11E4"/>
    <w:rsid w:val="00AF3E5C"/>
    <w:rsid w:val="00B10C44"/>
    <w:rsid w:val="00B3112B"/>
    <w:rsid w:val="00B347AD"/>
    <w:rsid w:val="00B37B38"/>
    <w:rsid w:val="00B64C91"/>
    <w:rsid w:val="00B70AFF"/>
    <w:rsid w:val="00B71369"/>
    <w:rsid w:val="00B72AFD"/>
    <w:rsid w:val="00B75399"/>
    <w:rsid w:val="00B97FC1"/>
    <w:rsid w:val="00BC4210"/>
    <w:rsid w:val="00BC79E4"/>
    <w:rsid w:val="00C3477B"/>
    <w:rsid w:val="00C5243E"/>
    <w:rsid w:val="00C7361A"/>
    <w:rsid w:val="00C73BE0"/>
    <w:rsid w:val="00C80340"/>
    <w:rsid w:val="00CC70B2"/>
    <w:rsid w:val="00CF6F74"/>
    <w:rsid w:val="00D02E19"/>
    <w:rsid w:val="00D05636"/>
    <w:rsid w:val="00D06F44"/>
    <w:rsid w:val="00D610EA"/>
    <w:rsid w:val="00D87A54"/>
    <w:rsid w:val="00D948AA"/>
    <w:rsid w:val="00DA12F8"/>
    <w:rsid w:val="00DB43CD"/>
    <w:rsid w:val="00DB5255"/>
    <w:rsid w:val="00DC2B2C"/>
    <w:rsid w:val="00DE4464"/>
    <w:rsid w:val="00DE50A9"/>
    <w:rsid w:val="00DE7809"/>
    <w:rsid w:val="00E14D9E"/>
    <w:rsid w:val="00E15274"/>
    <w:rsid w:val="00E3109E"/>
    <w:rsid w:val="00EA62EF"/>
    <w:rsid w:val="00EB6A1A"/>
    <w:rsid w:val="00F16852"/>
    <w:rsid w:val="00F23F9E"/>
    <w:rsid w:val="00F4271B"/>
    <w:rsid w:val="00F65AF5"/>
    <w:rsid w:val="00F825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385"/>
    <w:rPr>
      <w:sz w:val="18"/>
      <w:szCs w:val="18"/>
    </w:rPr>
  </w:style>
  <w:style w:type="paragraph" w:styleId="a4">
    <w:name w:val="footer"/>
    <w:basedOn w:val="a"/>
    <w:link w:val="Char0"/>
    <w:uiPriority w:val="99"/>
    <w:unhideWhenUsed/>
    <w:rsid w:val="007A0385"/>
    <w:pPr>
      <w:tabs>
        <w:tab w:val="center" w:pos="4153"/>
        <w:tab w:val="right" w:pos="8306"/>
      </w:tabs>
      <w:snapToGrid w:val="0"/>
      <w:jc w:val="left"/>
    </w:pPr>
    <w:rPr>
      <w:sz w:val="18"/>
      <w:szCs w:val="18"/>
    </w:rPr>
  </w:style>
  <w:style w:type="character" w:customStyle="1" w:styleId="Char0">
    <w:name w:val="页脚 Char"/>
    <w:basedOn w:val="a0"/>
    <w:link w:val="a4"/>
    <w:uiPriority w:val="99"/>
    <w:rsid w:val="007A0385"/>
    <w:rPr>
      <w:sz w:val="18"/>
      <w:szCs w:val="18"/>
    </w:rPr>
  </w:style>
  <w:style w:type="paragraph" w:styleId="a5">
    <w:name w:val="Normal (Web)"/>
    <w:basedOn w:val="a"/>
    <w:uiPriority w:val="99"/>
    <w:unhideWhenUsed/>
    <w:rsid w:val="007A0385"/>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7A0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E5D51"/>
  </w:style>
  <w:style w:type="paragraph" w:styleId="a7">
    <w:name w:val="Balloon Text"/>
    <w:basedOn w:val="a"/>
    <w:link w:val="Char1"/>
    <w:uiPriority w:val="99"/>
    <w:semiHidden/>
    <w:unhideWhenUsed/>
    <w:rsid w:val="00C80340"/>
    <w:rPr>
      <w:sz w:val="18"/>
      <w:szCs w:val="18"/>
    </w:rPr>
  </w:style>
  <w:style w:type="character" w:customStyle="1" w:styleId="Char1">
    <w:name w:val="批注框文本 Char"/>
    <w:basedOn w:val="a0"/>
    <w:link w:val="a7"/>
    <w:uiPriority w:val="99"/>
    <w:semiHidden/>
    <w:rsid w:val="00C80340"/>
    <w:rPr>
      <w:sz w:val="18"/>
      <w:szCs w:val="18"/>
    </w:rPr>
  </w:style>
  <w:style w:type="paragraph" w:styleId="a8">
    <w:name w:val="List Paragraph"/>
    <w:basedOn w:val="a"/>
    <w:uiPriority w:val="34"/>
    <w:qFormat/>
    <w:rsid w:val="001830E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385"/>
    <w:rPr>
      <w:sz w:val="18"/>
      <w:szCs w:val="18"/>
    </w:rPr>
  </w:style>
  <w:style w:type="paragraph" w:styleId="a4">
    <w:name w:val="footer"/>
    <w:basedOn w:val="a"/>
    <w:link w:val="Char0"/>
    <w:uiPriority w:val="99"/>
    <w:unhideWhenUsed/>
    <w:rsid w:val="007A0385"/>
    <w:pPr>
      <w:tabs>
        <w:tab w:val="center" w:pos="4153"/>
        <w:tab w:val="right" w:pos="8306"/>
      </w:tabs>
      <w:snapToGrid w:val="0"/>
      <w:jc w:val="left"/>
    </w:pPr>
    <w:rPr>
      <w:sz w:val="18"/>
      <w:szCs w:val="18"/>
    </w:rPr>
  </w:style>
  <w:style w:type="character" w:customStyle="1" w:styleId="Char0">
    <w:name w:val="页脚 Char"/>
    <w:basedOn w:val="a0"/>
    <w:link w:val="a4"/>
    <w:uiPriority w:val="99"/>
    <w:rsid w:val="007A0385"/>
    <w:rPr>
      <w:sz w:val="18"/>
      <w:szCs w:val="18"/>
    </w:rPr>
  </w:style>
  <w:style w:type="paragraph" w:styleId="a5">
    <w:name w:val="Normal (Web)"/>
    <w:basedOn w:val="a"/>
    <w:uiPriority w:val="99"/>
    <w:unhideWhenUsed/>
    <w:rsid w:val="007A0385"/>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7A0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E5D51"/>
  </w:style>
  <w:style w:type="paragraph" w:styleId="a7">
    <w:name w:val="Balloon Text"/>
    <w:basedOn w:val="a"/>
    <w:link w:val="Char1"/>
    <w:uiPriority w:val="99"/>
    <w:semiHidden/>
    <w:unhideWhenUsed/>
    <w:rsid w:val="00C80340"/>
    <w:rPr>
      <w:sz w:val="18"/>
      <w:szCs w:val="18"/>
    </w:rPr>
  </w:style>
  <w:style w:type="character" w:customStyle="1" w:styleId="Char1">
    <w:name w:val="批注框文本 Char"/>
    <w:basedOn w:val="a0"/>
    <w:link w:val="a7"/>
    <w:uiPriority w:val="99"/>
    <w:semiHidden/>
    <w:rsid w:val="00C80340"/>
    <w:rPr>
      <w:sz w:val="18"/>
      <w:szCs w:val="18"/>
    </w:rPr>
  </w:style>
  <w:style w:type="paragraph" w:styleId="a8">
    <w:name w:val="List Paragraph"/>
    <w:basedOn w:val="a"/>
    <w:uiPriority w:val="34"/>
    <w:qFormat/>
    <w:rsid w:val="001830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655">
      <w:bodyDiv w:val="1"/>
      <w:marLeft w:val="0"/>
      <w:marRight w:val="0"/>
      <w:marTop w:val="0"/>
      <w:marBottom w:val="0"/>
      <w:divBdr>
        <w:top w:val="none" w:sz="0" w:space="0" w:color="auto"/>
        <w:left w:val="none" w:sz="0" w:space="0" w:color="auto"/>
        <w:bottom w:val="none" w:sz="0" w:space="0" w:color="auto"/>
        <w:right w:val="none" w:sz="0" w:space="0" w:color="auto"/>
      </w:divBdr>
      <w:divsChild>
        <w:div w:id="980042977">
          <w:marLeft w:val="0"/>
          <w:marRight w:val="0"/>
          <w:marTop w:val="0"/>
          <w:marBottom w:val="0"/>
          <w:divBdr>
            <w:top w:val="none" w:sz="0" w:space="0" w:color="auto"/>
            <w:left w:val="none" w:sz="0" w:space="0" w:color="auto"/>
            <w:bottom w:val="none" w:sz="0" w:space="0" w:color="auto"/>
            <w:right w:val="none" w:sz="0" w:space="0" w:color="auto"/>
          </w:divBdr>
          <w:divsChild>
            <w:div w:id="1558124530">
              <w:marLeft w:val="0"/>
              <w:marRight w:val="0"/>
              <w:marTop w:val="0"/>
              <w:marBottom w:val="0"/>
              <w:divBdr>
                <w:top w:val="none" w:sz="0" w:space="0" w:color="auto"/>
                <w:left w:val="none" w:sz="0" w:space="0" w:color="auto"/>
                <w:bottom w:val="none" w:sz="0" w:space="0" w:color="auto"/>
                <w:right w:val="none" w:sz="0" w:space="0" w:color="auto"/>
              </w:divBdr>
              <w:divsChild>
                <w:div w:id="258029998">
                  <w:marLeft w:val="0"/>
                  <w:marRight w:val="0"/>
                  <w:marTop w:val="0"/>
                  <w:marBottom w:val="0"/>
                  <w:divBdr>
                    <w:top w:val="none" w:sz="0" w:space="0" w:color="auto"/>
                    <w:left w:val="none" w:sz="0" w:space="0" w:color="auto"/>
                    <w:bottom w:val="none" w:sz="0" w:space="0" w:color="auto"/>
                    <w:right w:val="none" w:sz="0" w:space="0" w:color="auto"/>
                  </w:divBdr>
                  <w:divsChild>
                    <w:div w:id="2561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36732">
      <w:bodyDiv w:val="1"/>
      <w:marLeft w:val="0"/>
      <w:marRight w:val="0"/>
      <w:marTop w:val="0"/>
      <w:marBottom w:val="0"/>
      <w:divBdr>
        <w:top w:val="none" w:sz="0" w:space="0" w:color="auto"/>
        <w:left w:val="none" w:sz="0" w:space="0" w:color="auto"/>
        <w:bottom w:val="none" w:sz="0" w:space="0" w:color="auto"/>
        <w:right w:val="none" w:sz="0" w:space="0" w:color="auto"/>
      </w:divBdr>
      <w:divsChild>
        <w:div w:id="1633055312">
          <w:marLeft w:val="0"/>
          <w:marRight w:val="0"/>
          <w:marTop w:val="0"/>
          <w:marBottom w:val="0"/>
          <w:divBdr>
            <w:top w:val="none" w:sz="0" w:space="0" w:color="auto"/>
            <w:left w:val="none" w:sz="0" w:space="0" w:color="auto"/>
            <w:bottom w:val="none" w:sz="0" w:space="0" w:color="auto"/>
            <w:right w:val="none" w:sz="0" w:space="0" w:color="auto"/>
          </w:divBdr>
          <w:divsChild>
            <w:div w:id="1938243594">
              <w:marLeft w:val="0"/>
              <w:marRight w:val="0"/>
              <w:marTop w:val="0"/>
              <w:marBottom w:val="0"/>
              <w:divBdr>
                <w:top w:val="none" w:sz="0" w:space="0" w:color="auto"/>
                <w:left w:val="none" w:sz="0" w:space="0" w:color="auto"/>
                <w:bottom w:val="none" w:sz="0" w:space="0" w:color="auto"/>
                <w:right w:val="none" w:sz="0" w:space="0" w:color="auto"/>
              </w:divBdr>
              <w:divsChild>
                <w:div w:id="329602450">
                  <w:marLeft w:val="0"/>
                  <w:marRight w:val="0"/>
                  <w:marTop w:val="0"/>
                  <w:marBottom w:val="0"/>
                  <w:divBdr>
                    <w:top w:val="none" w:sz="0" w:space="0" w:color="auto"/>
                    <w:left w:val="none" w:sz="0" w:space="0" w:color="auto"/>
                    <w:bottom w:val="none" w:sz="0" w:space="0" w:color="auto"/>
                    <w:right w:val="none" w:sz="0" w:space="0" w:color="auto"/>
                  </w:divBdr>
                  <w:divsChild>
                    <w:div w:id="416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11310">
      <w:bodyDiv w:val="1"/>
      <w:marLeft w:val="0"/>
      <w:marRight w:val="0"/>
      <w:marTop w:val="0"/>
      <w:marBottom w:val="0"/>
      <w:divBdr>
        <w:top w:val="none" w:sz="0" w:space="0" w:color="auto"/>
        <w:left w:val="none" w:sz="0" w:space="0" w:color="auto"/>
        <w:bottom w:val="none" w:sz="0" w:space="0" w:color="auto"/>
        <w:right w:val="none" w:sz="0" w:space="0" w:color="auto"/>
      </w:divBdr>
    </w:div>
    <w:div w:id="1750300964">
      <w:bodyDiv w:val="1"/>
      <w:marLeft w:val="0"/>
      <w:marRight w:val="0"/>
      <w:marTop w:val="0"/>
      <w:marBottom w:val="0"/>
      <w:divBdr>
        <w:top w:val="none" w:sz="0" w:space="0" w:color="auto"/>
        <w:left w:val="none" w:sz="0" w:space="0" w:color="auto"/>
        <w:bottom w:val="none" w:sz="0" w:space="0" w:color="auto"/>
        <w:right w:val="none" w:sz="0" w:space="0" w:color="auto"/>
      </w:divBdr>
      <w:divsChild>
        <w:div w:id="671182678">
          <w:marLeft w:val="0"/>
          <w:marRight w:val="0"/>
          <w:marTop w:val="0"/>
          <w:marBottom w:val="0"/>
          <w:divBdr>
            <w:top w:val="none" w:sz="0" w:space="0" w:color="auto"/>
            <w:left w:val="none" w:sz="0" w:space="0" w:color="auto"/>
            <w:bottom w:val="none" w:sz="0" w:space="0" w:color="auto"/>
            <w:right w:val="none" w:sz="0" w:space="0" w:color="auto"/>
          </w:divBdr>
          <w:divsChild>
            <w:div w:id="1994143025">
              <w:marLeft w:val="0"/>
              <w:marRight w:val="0"/>
              <w:marTop w:val="0"/>
              <w:marBottom w:val="0"/>
              <w:divBdr>
                <w:top w:val="none" w:sz="0" w:space="0" w:color="auto"/>
                <w:left w:val="none" w:sz="0" w:space="0" w:color="auto"/>
                <w:bottom w:val="none" w:sz="0" w:space="0" w:color="auto"/>
                <w:right w:val="none" w:sz="0" w:space="0" w:color="auto"/>
              </w:divBdr>
              <w:divsChild>
                <w:div w:id="1322924539">
                  <w:marLeft w:val="0"/>
                  <w:marRight w:val="0"/>
                  <w:marTop w:val="0"/>
                  <w:marBottom w:val="0"/>
                  <w:divBdr>
                    <w:top w:val="none" w:sz="0" w:space="0" w:color="auto"/>
                    <w:left w:val="none" w:sz="0" w:space="0" w:color="auto"/>
                    <w:bottom w:val="none" w:sz="0" w:space="0" w:color="auto"/>
                    <w:right w:val="none" w:sz="0" w:space="0" w:color="auto"/>
                  </w:divBdr>
                  <w:divsChild>
                    <w:div w:id="19698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3645">
      <w:bodyDiv w:val="1"/>
      <w:marLeft w:val="0"/>
      <w:marRight w:val="0"/>
      <w:marTop w:val="0"/>
      <w:marBottom w:val="0"/>
      <w:divBdr>
        <w:top w:val="none" w:sz="0" w:space="0" w:color="auto"/>
        <w:left w:val="none" w:sz="0" w:space="0" w:color="auto"/>
        <w:bottom w:val="none" w:sz="0" w:space="0" w:color="auto"/>
        <w:right w:val="none" w:sz="0" w:space="0" w:color="auto"/>
      </w:divBdr>
      <w:divsChild>
        <w:div w:id="823009035">
          <w:marLeft w:val="0"/>
          <w:marRight w:val="0"/>
          <w:marTop w:val="0"/>
          <w:marBottom w:val="0"/>
          <w:divBdr>
            <w:top w:val="none" w:sz="0" w:space="0" w:color="auto"/>
            <w:left w:val="none" w:sz="0" w:space="0" w:color="auto"/>
            <w:bottom w:val="none" w:sz="0" w:space="0" w:color="auto"/>
            <w:right w:val="none" w:sz="0" w:space="0" w:color="auto"/>
          </w:divBdr>
          <w:divsChild>
            <w:div w:id="1669551578">
              <w:marLeft w:val="0"/>
              <w:marRight w:val="0"/>
              <w:marTop w:val="0"/>
              <w:marBottom w:val="0"/>
              <w:divBdr>
                <w:top w:val="none" w:sz="0" w:space="0" w:color="auto"/>
                <w:left w:val="none" w:sz="0" w:space="0" w:color="auto"/>
                <w:bottom w:val="none" w:sz="0" w:space="0" w:color="auto"/>
                <w:right w:val="none" w:sz="0" w:space="0" w:color="auto"/>
              </w:divBdr>
              <w:divsChild>
                <w:div w:id="1190871721">
                  <w:marLeft w:val="0"/>
                  <w:marRight w:val="0"/>
                  <w:marTop w:val="0"/>
                  <w:marBottom w:val="0"/>
                  <w:divBdr>
                    <w:top w:val="none" w:sz="0" w:space="0" w:color="auto"/>
                    <w:left w:val="none" w:sz="0" w:space="0" w:color="auto"/>
                    <w:bottom w:val="none" w:sz="0" w:space="0" w:color="auto"/>
                    <w:right w:val="none" w:sz="0" w:space="0" w:color="auto"/>
                  </w:divBdr>
                  <w:divsChild>
                    <w:div w:id="15244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7330">
      <w:bodyDiv w:val="1"/>
      <w:marLeft w:val="0"/>
      <w:marRight w:val="0"/>
      <w:marTop w:val="0"/>
      <w:marBottom w:val="0"/>
      <w:divBdr>
        <w:top w:val="none" w:sz="0" w:space="0" w:color="auto"/>
        <w:left w:val="none" w:sz="0" w:space="0" w:color="auto"/>
        <w:bottom w:val="none" w:sz="0" w:space="0" w:color="auto"/>
        <w:right w:val="none" w:sz="0" w:space="0" w:color="auto"/>
      </w:divBdr>
      <w:divsChild>
        <w:div w:id="2001691074">
          <w:marLeft w:val="0"/>
          <w:marRight w:val="0"/>
          <w:marTop w:val="0"/>
          <w:marBottom w:val="0"/>
          <w:divBdr>
            <w:top w:val="none" w:sz="0" w:space="0" w:color="auto"/>
            <w:left w:val="none" w:sz="0" w:space="0" w:color="auto"/>
            <w:bottom w:val="none" w:sz="0" w:space="0" w:color="auto"/>
            <w:right w:val="none" w:sz="0" w:space="0" w:color="auto"/>
          </w:divBdr>
          <w:divsChild>
            <w:div w:id="1706324449">
              <w:marLeft w:val="0"/>
              <w:marRight w:val="0"/>
              <w:marTop w:val="0"/>
              <w:marBottom w:val="0"/>
              <w:divBdr>
                <w:top w:val="none" w:sz="0" w:space="0" w:color="auto"/>
                <w:left w:val="none" w:sz="0" w:space="0" w:color="auto"/>
                <w:bottom w:val="none" w:sz="0" w:space="0" w:color="auto"/>
                <w:right w:val="none" w:sz="0" w:space="0" w:color="auto"/>
              </w:divBdr>
              <w:divsChild>
                <w:div w:id="370306695">
                  <w:marLeft w:val="0"/>
                  <w:marRight w:val="0"/>
                  <w:marTop w:val="0"/>
                  <w:marBottom w:val="0"/>
                  <w:divBdr>
                    <w:top w:val="none" w:sz="0" w:space="0" w:color="auto"/>
                    <w:left w:val="none" w:sz="0" w:space="0" w:color="auto"/>
                    <w:bottom w:val="none" w:sz="0" w:space="0" w:color="auto"/>
                    <w:right w:val="none" w:sz="0" w:space="0" w:color="auto"/>
                  </w:divBdr>
                  <w:divsChild>
                    <w:div w:id="16536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60F32-5ED2-4FA5-A028-9FB519A7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840</Words>
  <Characters>4788</Characters>
  <Application>Microsoft Office Word</Application>
  <DocSecurity>0</DocSecurity>
  <Lines>39</Lines>
  <Paragraphs>11</Paragraphs>
  <ScaleCrop>false</ScaleCrop>
  <Company>Microsoft</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薛宏春</cp:lastModifiedBy>
  <cp:revision>16</cp:revision>
  <cp:lastPrinted>2017-09-26T03:38:00Z</cp:lastPrinted>
  <dcterms:created xsi:type="dcterms:W3CDTF">2016-09-30T11:07:00Z</dcterms:created>
  <dcterms:modified xsi:type="dcterms:W3CDTF">2017-09-26T09:01:00Z</dcterms:modified>
</cp:coreProperties>
</file>