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00" w:lineRule="exact"/>
        <w:ind w:firstLine="0" w:firstLineChars="0"/>
        <w:jc w:val="center"/>
        <w:rPr>
          <w:rFonts w:ascii="方正小标宋简体" w:eastAsia="方正小标宋简体" w:hAnsiTheme="majorEastAsia" w:cstheme="majorEastAsia"/>
          <w:bCs/>
          <w:sz w:val="40"/>
          <w:szCs w:val="36"/>
        </w:rPr>
      </w:pPr>
      <w:r>
        <w:rPr>
          <w:rFonts w:hint="eastAsia" w:ascii="方正小标宋简体" w:eastAsia="方正小标宋简体" w:hAnsiTheme="majorEastAsia" w:cstheme="majorEastAsia"/>
          <w:bCs/>
          <w:sz w:val="40"/>
          <w:szCs w:val="36"/>
        </w:rPr>
        <w:t>食品科学与工程学院教师本科教学质量评价办法（试行）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为切实加强教学工作，牢固树立教学工作的中心地位，强化教师教学的职责和质量意识，建立和健全教学工作质量评价、激励与约束机制，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西北农林科技大学教师本科教学质量综合评价办法（试行）》</w:t>
      </w:r>
      <w:r>
        <w:rPr>
          <w:rFonts w:hint="eastAsia" w:ascii="Times New Roman" w:hAnsi="Times New Roman" w:eastAsia="仿宋_GB2312"/>
          <w:sz w:val="32"/>
          <w:szCs w:val="32"/>
        </w:rPr>
        <w:t>（校教发 </w:t>
      </w:r>
      <w:bookmarkStart w:id="0" w:name="fwyear"/>
      <w:r>
        <w:rPr>
          <w:rFonts w:hint="eastAsia" w:ascii="Times New Roman" w:hAnsi="Times New Roman" w:eastAsia="仿宋_GB2312"/>
          <w:sz w:val="32"/>
          <w:szCs w:val="32"/>
        </w:rPr>
        <w:t>[2015</w:t>
      </w:r>
      <w:bookmarkEnd w:id="0"/>
      <w:bookmarkStart w:id="1" w:name="fwh"/>
      <w:r>
        <w:rPr>
          <w:rFonts w:hint="eastAsia" w:ascii="Times New Roman" w:hAnsi="Times New Roman" w:eastAsia="仿宋_GB2312"/>
          <w:sz w:val="32"/>
          <w:szCs w:val="32"/>
        </w:rPr>
        <w:t>]167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号）及《西北农林科技大学校内津贴管理办法（试行）》（校人事发[2019]192号）文件精神</w:t>
      </w:r>
      <w:r>
        <w:rPr>
          <w:rFonts w:ascii="Times New Roman" w:hAnsi="Times New Roman" w:eastAsia="仿宋_GB2312"/>
          <w:sz w:val="32"/>
          <w:szCs w:val="32"/>
        </w:rPr>
        <w:t>，结合我院实际，制定</w:t>
      </w:r>
      <w:r>
        <w:rPr>
          <w:rFonts w:hint="eastAsia" w:ascii="Times New Roman" w:hAnsi="Times New Roman" w:eastAsia="仿宋_GB2312"/>
          <w:sz w:val="32"/>
          <w:szCs w:val="32"/>
        </w:rPr>
        <w:t>该</w:t>
      </w:r>
      <w:r>
        <w:rPr>
          <w:rFonts w:ascii="Times New Roman" w:hAnsi="Times New Roman" w:eastAsia="仿宋_GB2312"/>
          <w:sz w:val="32"/>
          <w:szCs w:val="32"/>
        </w:rPr>
        <w:t>评价办法。</w:t>
      </w:r>
    </w:p>
    <w:p>
      <w:pPr>
        <w:spacing w:beforeLines="50" w:afterLines="50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一、</w:t>
      </w:r>
      <w:r>
        <w:rPr>
          <w:rFonts w:ascii="Times New Roman" w:hAnsi="Times New Roman" w:eastAsia="仿宋_GB2312"/>
          <w:b/>
          <w:sz w:val="32"/>
          <w:szCs w:val="32"/>
        </w:rPr>
        <w:t>评价原则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教师本科教学质量综合评价坚持公平、公正、公开原则；坚持有利于学生培养和教学质量提高原则；坚持分层次和分类别相结合原则；坚持定量和定性相结合的原则。</w:t>
      </w:r>
    </w:p>
    <w:p>
      <w:pPr>
        <w:spacing w:beforeLines="50" w:afterLines="50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二、评价对象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承担学校全日制普通本科生教学任务的我院任课教师。</w:t>
      </w:r>
    </w:p>
    <w:p>
      <w:pPr>
        <w:spacing w:beforeLines="50" w:afterLines="50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三、评价组织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学院成立教师本科教学质量评价工作组，组长由学院院长担任，副组长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分管教学工作的副院长担任，组员由学院党政领导、系（教研室）主任</w:t>
      </w:r>
      <w:r>
        <w:rPr>
          <w:rFonts w:hint="eastAsia" w:ascii="Times New Roman" w:hAnsi="Times New Roman" w:eastAsia="仿宋_GB2312"/>
          <w:sz w:val="32"/>
          <w:szCs w:val="32"/>
        </w:rPr>
        <w:t>担任</w:t>
      </w:r>
      <w:r>
        <w:rPr>
          <w:rFonts w:ascii="Times New Roman" w:hAnsi="Times New Roman" w:eastAsia="仿宋_GB2312"/>
          <w:sz w:val="32"/>
          <w:szCs w:val="32"/>
        </w:rPr>
        <w:t>，工作组秘书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教学秘书</w:t>
      </w:r>
      <w:r>
        <w:rPr>
          <w:rFonts w:hint="eastAsia" w:ascii="Times New Roman" w:hAnsi="Times New Roman" w:eastAsia="仿宋_GB2312"/>
          <w:sz w:val="32"/>
          <w:szCs w:val="32"/>
        </w:rPr>
        <w:t>担任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工作组负责制定评价实施办法，统计教师本科教学质量评价结果，受理教师申诉，讨论与解决评价工作中的问题。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各系成立教师本科教学质量评价工作小组，具体负责本系教师本科教学质量评价工作。</w:t>
      </w:r>
    </w:p>
    <w:p>
      <w:pPr>
        <w:spacing w:beforeLines="50" w:afterLines="50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四、学院评价办法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按照学校评价办法，</w:t>
      </w:r>
      <w:r>
        <w:rPr>
          <w:rFonts w:hint="eastAsia" w:ascii="Times New Roman" w:hAnsi="Times New Roman" w:eastAsia="仿宋_GB2312"/>
          <w:sz w:val="32"/>
          <w:szCs w:val="32"/>
        </w:rPr>
        <w:t>结合学院工作实际，学院教师本科教学质量评价分为四个部分：</w:t>
      </w:r>
      <w:r>
        <w:rPr>
          <w:rFonts w:ascii="Times New Roman" w:hAnsi="Times New Roman" w:eastAsia="仿宋_GB2312"/>
          <w:sz w:val="32"/>
          <w:szCs w:val="32"/>
        </w:rPr>
        <w:t>学生评教占</w:t>
      </w:r>
      <w:r>
        <w:rPr>
          <w:rFonts w:hint="eastAsia" w:ascii="Times New Roman" w:hAnsi="Times New Roman" w:eastAsia="仿宋_GB2312"/>
          <w:sz w:val="32"/>
          <w:szCs w:val="32"/>
        </w:rPr>
        <w:t>40</w:t>
      </w:r>
      <w:r>
        <w:rPr>
          <w:rFonts w:ascii="Times New Roman" w:hAnsi="Times New Roman" w:eastAsia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师德师风占10%，</w:t>
      </w:r>
      <w:r>
        <w:rPr>
          <w:rFonts w:ascii="Times New Roman" w:hAnsi="Times New Roman" w:eastAsia="仿宋_GB2312"/>
          <w:sz w:val="32"/>
          <w:szCs w:val="32"/>
        </w:rPr>
        <w:t>学院评价占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0%，</w:t>
      </w:r>
      <w:r>
        <w:rPr>
          <w:rFonts w:hint="eastAsia" w:ascii="Times New Roman" w:hAnsi="Times New Roman" w:eastAsia="仿宋_GB2312"/>
          <w:sz w:val="32"/>
          <w:szCs w:val="32"/>
        </w:rPr>
        <w:t>学校</w:t>
      </w:r>
      <w:r>
        <w:rPr>
          <w:rFonts w:ascii="Times New Roman" w:hAnsi="Times New Roman" w:eastAsia="仿宋_GB2312"/>
          <w:sz w:val="32"/>
          <w:szCs w:val="32"/>
        </w:rPr>
        <w:t>评价占10%。本年度无教学事故的任课教师参与评价，满分100分计算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2.质量等级分A（优秀）、B（良好）、C（一般）、D（差）四个等级。其中，A等数量不多于20%，C等和D等总数不少于10%，评为D等级酌情扣发教学质量奖励津贴。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学院评价部分由教师本人</w:t>
      </w: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《食品科学与工程学院教师本科教学质量评价指标（试行）》</w:t>
      </w:r>
      <w:r>
        <w:rPr>
          <w:rFonts w:ascii="Times New Roman" w:hAnsi="Times New Roman" w:eastAsia="仿宋_GB2312"/>
          <w:sz w:val="32"/>
          <w:szCs w:val="32"/>
        </w:rPr>
        <w:t>10项指标评价（见附</w:t>
      </w:r>
      <w:r>
        <w:rPr>
          <w:rFonts w:hint="eastAsia" w:ascii="Times New Roman" w:hAnsi="Times New Roman" w:eastAsia="仿宋_GB2312"/>
          <w:sz w:val="32"/>
          <w:szCs w:val="32"/>
        </w:rPr>
        <w:t>表</w:t>
      </w:r>
      <w:r>
        <w:rPr>
          <w:rFonts w:ascii="Times New Roman" w:hAnsi="Times New Roman" w:eastAsia="仿宋_GB2312"/>
          <w:sz w:val="32"/>
          <w:szCs w:val="32"/>
        </w:rPr>
        <w:t>1）</w:t>
      </w:r>
      <w:r>
        <w:rPr>
          <w:rFonts w:hint="eastAsia" w:ascii="Times New Roman" w:hAnsi="Times New Roman" w:eastAsia="仿宋_GB2312"/>
          <w:sz w:val="32"/>
          <w:szCs w:val="32"/>
        </w:rPr>
        <w:t>，填写《食品科学与工程学院教师本科教学质量评价得分表》</w:t>
      </w:r>
      <w:r>
        <w:rPr>
          <w:rFonts w:ascii="Times New Roman" w:hAnsi="Times New Roman" w:eastAsia="仿宋_GB2312"/>
          <w:sz w:val="32"/>
          <w:szCs w:val="32"/>
        </w:rPr>
        <w:t>（见附</w:t>
      </w:r>
      <w:r>
        <w:rPr>
          <w:rFonts w:hint="eastAsia" w:ascii="Times New Roman" w:hAnsi="Times New Roman" w:eastAsia="仿宋_GB2312"/>
          <w:sz w:val="32"/>
          <w:szCs w:val="32"/>
        </w:rPr>
        <w:t>表2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，教师将填写后的得分表电子版（命名为教研室名称+本人姓名）交至所在系审核后，发送至学院教学办公室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4.学院</w:t>
      </w:r>
      <w:r>
        <w:rPr>
          <w:rFonts w:ascii="Times New Roman" w:hAnsi="Times New Roman" w:eastAsia="仿宋_GB2312"/>
          <w:sz w:val="32"/>
          <w:szCs w:val="32"/>
        </w:rPr>
        <w:t>教学</w:t>
      </w:r>
      <w:r>
        <w:rPr>
          <w:rFonts w:hint="eastAsia" w:ascii="Times New Roman" w:hAnsi="Times New Roman" w:eastAsia="仿宋_GB2312"/>
          <w:sz w:val="32"/>
          <w:szCs w:val="32"/>
        </w:rPr>
        <w:t>办公室将</w:t>
      </w:r>
      <w:r>
        <w:rPr>
          <w:rFonts w:ascii="Times New Roman" w:hAnsi="Times New Roman" w:eastAsia="仿宋_GB2312"/>
          <w:sz w:val="32"/>
          <w:szCs w:val="32"/>
        </w:rPr>
        <w:t>学生评教</w:t>
      </w:r>
      <w:r>
        <w:rPr>
          <w:rFonts w:hint="eastAsia" w:ascii="Times New Roman" w:hAnsi="Times New Roman" w:eastAsia="仿宋_GB2312"/>
          <w:sz w:val="32"/>
          <w:szCs w:val="32"/>
        </w:rPr>
        <w:t>、师德师风、</w:t>
      </w:r>
      <w:r>
        <w:rPr>
          <w:rFonts w:ascii="Times New Roman" w:hAnsi="Times New Roman" w:eastAsia="仿宋_GB2312"/>
          <w:sz w:val="32"/>
          <w:szCs w:val="32"/>
        </w:rPr>
        <w:t>学院评价</w:t>
      </w:r>
      <w:r>
        <w:rPr>
          <w:rFonts w:hint="eastAsia" w:ascii="Times New Roman" w:hAnsi="Times New Roman" w:eastAsia="仿宋_GB2312"/>
          <w:sz w:val="32"/>
          <w:szCs w:val="32"/>
        </w:rPr>
        <w:t>、学校</w:t>
      </w:r>
      <w:r>
        <w:rPr>
          <w:rFonts w:ascii="Times New Roman" w:hAnsi="Times New Roman" w:eastAsia="仿宋_GB2312"/>
          <w:sz w:val="32"/>
          <w:szCs w:val="32"/>
        </w:rPr>
        <w:t>评价</w:t>
      </w:r>
      <w:r>
        <w:rPr>
          <w:rFonts w:hint="eastAsia" w:ascii="Times New Roman" w:hAnsi="Times New Roman" w:eastAsia="仿宋_GB2312"/>
          <w:sz w:val="32"/>
          <w:szCs w:val="32"/>
        </w:rPr>
        <w:t>四部分结果进行</w:t>
      </w:r>
      <w:r>
        <w:rPr>
          <w:rFonts w:ascii="Times New Roman" w:hAnsi="Times New Roman" w:eastAsia="仿宋_GB2312"/>
          <w:sz w:val="32"/>
          <w:szCs w:val="32"/>
        </w:rPr>
        <w:t>汇总</w:t>
      </w:r>
      <w:r>
        <w:rPr>
          <w:rFonts w:hint="eastAsia" w:ascii="Times New Roman" w:hAnsi="Times New Roman" w:eastAsia="仿宋_GB2312"/>
          <w:sz w:val="32"/>
          <w:szCs w:val="32"/>
        </w:rPr>
        <w:t>并划分等级，</w:t>
      </w:r>
      <w:r>
        <w:rPr>
          <w:rFonts w:ascii="Times New Roman" w:hAnsi="Times New Roman" w:eastAsia="仿宋_GB2312"/>
          <w:sz w:val="32"/>
          <w:szCs w:val="32"/>
        </w:rPr>
        <w:t>评价结果在学院内公示。</w:t>
      </w:r>
    </w:p>
    <w:p>
      <w:pPr>
        <w:spacing w:beforeLines="50" w:afterLines="50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五、其它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本办法自颁布之日起执行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《食品科学与工程学院本科教学质量奖奖励办法（试行）》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食品</w:t>
      </w:r>
      <w:r>
        <w:rPr>
          <w:rFonts w:hint="eastAsia" w:ascii="Times New Roman" w:hAnsi="Times New Roman" w:eastAsia="仿宋_GB2312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]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</w:rPr>
        <w:t>）同时废止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本办法由学院</w:t>
      </w:r>
      <w:r>
        <w:rPr>
          <w:rFonts w:hint="eastAsia" w:ascii="Times New Roman" w:hAnsi="Times New Roman" w:eastAsia="仿宋_GB2312"/>
          <w:sz w:val="32"/>
          <w:szCs w:val="32"/>
        </w:rPr>
        <w:t>党政综合办公室</w:t>
      </w:r>
      <w:r>
        <w:rPr>
          <w:rFonts w:ascii="Times New Roman" w:hAnsi="Times New Roman" w:eastAsia="仿宋_GB2312"/>
          <w:sz w:val="32"/>
          <w:szCs w:val="32"/>
        </w:rPr>
        <w:t>负责解释。</w:t>
      </w:r>
      <w:bookmarkStart w:id="2" w:name="_GoBack"/>
      <w:bookmarkEnd w:id="2"/>
    </w:p>
    <w:p>
      <w:pPr>
        <w:widowControl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食品科学与工程学院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2020年1月8日</w:t>
      </w:r>
    </w:p>
    <w:p>
      <w:pPr>
        <w:widowControl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附表1食品科学与工程学院教师本科教学质量评价指标 （试行）</w:t>
      </w:r>
    </w:p>
    <w:tbl>
      <w:tblPr>
        <w:tblStyle w:val="11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92"/>
        <w:gridCol w:w="3686"/>
        <w:gridCol w:w="101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368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评价标准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教学工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作量</w:t>
            </w:r>
            <w:r>
              <w:rPr>
                <w:rFonts w:hint="eastAsia" w:hAnsi="宋体"/>
                <w:b/>
                <w:szCs w:val="21"/>
              </w:rPr>
              <w:t xml:space="preserve">  （6分）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教学工作量</w:t>
            </w:r>
            <w:r>
              <w:rPr>
                <w:rFonts w:hint="eastAsia" w:hAnsi="宋体"/>
                <w:szCs w:val="21"/>
              </w:rPr>
              <w:t>（理论、实验、实习、毕业论文总工作量）</w:t>
            </w:r>
            <w:r>
              <w:rPr>
                <w:rFonts w:hAnsi="宋体"/>
                <w:szCs w:val="21"/>
              </w:rPr>
              <w:t>饱满</w:t>
            </w:r>
            <w:r>
              <w:rPr>
                <w:rFonts w:hint="eastAsia" w:hAnsi="宋体"/>
                <w:szCs w:val="21"/>
              </w:rPr>
              <w:t>，工作量排名处于学院前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工作量排名处于学院10%-90%（不包括10%和90%）。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工作量排名处于学院后10%。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指导学</w:t>
            </w:r>
          </w:p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生创新</w:t>
            </w:r>
          </w:p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创业（4分）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指导科创项目结题优秀；指导的国家级学科竞赛获奖；指导的学生在核心及以上期刊发表学术论文或获批专利。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专利发明第一人为在校学生或指导教师为第一发明人，在校本科生为第二发明人的100%。</w:t>
            </w:r>
          </w:p>
          <w:p>
            <w:pPr>
              <w:spacing w:line="40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论文和专利都必须是西北农林科技大学为第一署名单位；项目延期者不加分。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指导国家级科创项目；指导的省级学科竞赛获奖。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指导省级或校级科创项目；指导的校级学科竞赛获奖。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教学档案（2分）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试卷或毕业论文质量处于学院前10%，或指导学生毕业论文获校级优秀。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试卷或毕业论文质量符合学校基本规定，或指导学生毕业论文获院级优秀。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试卷或毕业论文质量处于学院后10%。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教学改革</w:t>
            </w:r>
            <w:r>
              <w:rPr>
                <w:rFonts w:hint="eastAsia" w:hAnsi="宋体"/>
                <w:b/>
                <w:szCs w:val="21"/>
              </w:rPr>
              <w:t>（6分）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获批省级及以上教学改革类项目</w:t>
            </w:r>
            <w:r>
              <w:rPr>
                <w:rFonts w:hint="eastAsia" w:hAnsi="宋体"/>
                <w:szCs w:val="21"/>
              </w:rPr>
              <w:t>（教改项目、精品课程、本科优质课项目、网络课程、双语课、全英文课等）。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主持人100%，参与者20%。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获批校级教学改革类项目</w:t>
            </w:r>
            <w:r>
              <w:rPr>
                <w:rFonts w:hint="eastAsia" w:hAnsi="宋体"/>
                <w:szCs w:val="21"/>
              </w:rPr>
              <w:t>（教改项目、精品课程、本科优质课项目、网络课程、双语课、全英文课等）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项</w:t>
            </w:r>
            <w:r>
              <w:rPr>
                <w:rFonts w:hint="eastAsia" w:hAnsi="宋体"/>
                <w:szCs w:val="21"/>
              </w:rPr>
              <w:t>。每增加1项，增加0.5分，累计不超过5分。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3-5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教材出版及教改论文（6分）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出版省部级及以上规划教材；发表A、B类教改论文。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主编100%，副主编50%，参编20%；教改论文第一署名单位西北农林科技大学，第一作者。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出版正规出版社教材；公开发表学校认定的教改论文。每增加1项，增加0.5分，累计不超过5分。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3-5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课程思政（2分）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获批校级立项“课程思政”示范课堂。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获批院级立项“课程思政”示范课堂。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获批院级立项“课程思政”课堂。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青年教师讲课比赛</w:t>
            </w:r>
          </w:p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（4分）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校级青年教师讲课比赛一等奖。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45岁以上及工作未满三年教师，此项按2分记。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校级青年教师讲课比赛获奖。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参加学院青年教师讲课比赛。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无故不参加学院青年教师讲课比赛。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参与教学活动</w:t>
            </w:r>
          </w:p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（2分）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参加学院组织的教学报告会、开题、答辩等教学活动80%以上者。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因出国或休假长期不在校人员，此项按0分记。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参加学院组织的教学报告会、开题、答辩等教学活动50%以上者。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参加学院组织的教学报告会、开题、答辩等教学活动30%以下者。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参加学校组织的教学会议。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0.2分/次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199" w:firstLineChars="95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教学奖励（6分）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获得省级及以上教学成果奖；获得省级及以上“教学名师”等荣誉称号。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主持人100%，参与人50%。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获得校级教学成果特等奖；获得校级“教学名师”等荣誉称号。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获得校级教学成果奖一等奖。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20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获得校级教学成果奖二等奖。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199" w:firstLineChars="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400" w:lineRule="exact"/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调课情况（2分）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无调课情况。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因教育部门工作安排与课程冲突等客观原因引起的调课不计算在内。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560" w:lineRule="exact"/>
              <w:ind w:firstLine="480"/>
              <w:rPr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调课1次，扣0.5分，以此类推，累计不超过-3分。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560" w:lineRule="exact"/>
              <w:ind w:firstLine="480"/>
              <w:jc w:val="center"/>
              <w:rPr>
                <w:sz w:val="24"/>
              </w:rPr>
            </w:pPr>
          </w:p>
        </w:tc>
      </w:tr>
    </w:tbl>
    <w:p>
      <w:pPr>
        <w:widowControl/>
        <w:tabs>
          <w:tab w:val="left" w:pos="900"/>
        </w:tabs>
        <w:spacing w:line="360" w:lineRule="auto"/>
        <w:ind w:right="-81" w:rightChars="-39" w:firstLine="198" w:firstLineChars="66"/>
        <w:rPr>
          <w:rFonts w:ascii="方正小标宋简体" w:hAnsi="宋体" w:eastAsia="方正小标宋简体"/>
          <w:b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58" w:right="1531" w:bottom="1713" w:left="1531" w:header="851" w:footer="992" w:gutter="0"/>
          <w:cols w:space="720" w:num="1"/>
          <w:docGrid w:type="linesAndChars" w:linePitch="312" w:charSpace="0"/>
        </w:sectPr>
      </w:pPr>
    </w:p>
    <w:p>
      <w:pPr>
        <w:ind w:left="-178" w:leftChars="-85" w:right="-147" w:rightChars="-70" w:firstLine="0" w:firstLineChars="0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附表2食品科学与工程学院教师本科教学质量评价得分表</w:t>
      </w:r>
    </w:p>
    <w:p>
      <w:pPr>
        <w:ind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教师姓名：           系：          教研室：           年度：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07"/>
        <w:gridCol w:w="4560"/>
        <w:gridCol w:w="99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198" w:firstLineChars="94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指标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42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得分依据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得分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教学工作量          （6分）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指导学生创新创业（4分）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教学档案            （2分）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教学改革            （6分）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教材出版及教改论文  （6分）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课程思政            （2分）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青年教师讲课比赛     （4分）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参与教学活动（2分）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教学奖励            （6分）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调课情况            （2分）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right="-111" w:rightChars="-53"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right="-86" w:rightChars="-41" w:firstLine="0" w:firstLineChars="0"/>
        <w:rPr>
          <w:sz w:val="24"/>
        </w:rPr>
      </w:pPr>
    </w:p>
    <w:sectPr>
      <w:pgSz w:w="11906" w:h="16838"/>
      <w:pgMar w:top="255" w:right="1289" w:bottom="24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360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C5D"/>
    <w:rsid w:val="000348CF"/>
    <w:rsid w:val="000461FC"/>
    <w:rsid w:val="00055180"/>
    <w:rsid w:val="00061C33"/>
    <w:rsid w:val="00096AC6"/>
    <w:rsid w:val="000A1840"/>
    <w:rsid w:val="000B2F54"/>
    <w:rsid w:val="000D01E6"/>
    <w:rsid w:val="000D240D"/>
    <w:rsid w:val="000F00E3"/>
    <w:rsid w:val="000F1E99"/>
    <w:rsid w:val="00101E82"/>
    <w:rsid w:val="00106D2F"/>
    <w:rsid w:val="00152B5D"/>
    <w:rsid w:val="001763CD"/>
    <w:rsid w:val="00180F79"/>
    <w:rsid w:val="0018268D"/>
    <w:rsid w:val="00186793"/>
    <w:rsid w:val="001A11B0"/>
    <w:rsid w:val="001D06B6"/>
    <w:rsid w:val="001F72E7"/>
    <w:rsid w:val="0020679F"/>
    <w:rsid w:val="002072AC"/>
    <w:rsid w:val="0023654D"/>
    <w:rsid w:val="00253C82"/>
    <w:rsid w:val="00291CFB"/>
    <w:rsid w:val="00294454"/>
    <w:rsid w:val="002A33E8"/>
    <w:rsid w:val="002B18CD"/>
    <w:rsid w:val="002B4F60"/>
    <w:rsid w:val="002B5397"/>
    <w:rsid w:val="002C04FC"/>
    <w:rsid w:val="002E61AD"/>
    <w:rsid w:val="00345048"/>
    <w:rsid w:val="0034638F"/>
    <w:rsid w:val="00384733"/>
    <w:rsid w:val="00390BDC"/>
    <w:rsid w:val="003A1D31"/>
    <w:rsid w:val="003D2124"/>
    <w:rsid w:val="003E53E4"/>
    <w:rsid w:val="003F57C3"/>
    <w:rsid w:val="00410A7B"/>
    <w:rsid w:val="00413DFA"/>
    <w:rsid w:val="00422C49"/>
    <w:rsid w:val="004247CA"/>
    <w:rsid w:val="0045571D"/>
    <w:rsid w:val="004565DB"/>
    <w:rsid w:val="004633F0"/>
    <w:rsid w:val="004B361C"/>
    <w:rsid w:val="004E6360"/>
    <w:rsid w:val="004F4878"/>
    <w:rsid w:val="00500178"/>
    <w:rsid w:val="00514623"/>
    <w:rsid w:val="00526D4A"/>
    <w:rsid w:val="00530C5C"/>
    <w:rsid w:val="005511E1"/>
    <w:rsid w:val="005C2126"/>
    <w:rsid w:val="005F03D0"/>
    <w:rsid w:val="005F5AAA"/>
    <w:rsid w:val="006035E2"/>
    <w:rsid w:val="00610ACE"/>
    <w:rsid w:val="0061102B"/>
    <w:rsid w:val="00611774"/>
    <w:rsid w:val="00626935"/>
    <w:rsid w:val="006634D5"/>
    <w:rsid w:val="00671B88"/>
    <w:rsid w:val="00686F8E"/>
    <w:rsid w:val="0069488D"/>
    <w:rsid w:val="006B1A6E"/>
    <w:rsid w:val="006B33CE"/>
    <w:rsid w:val="006D0FC0"/>
    <w:rsid w:val="006E7C2F"/>
    <w:rsid w:val="007106B7"/>
    <w:rsid w:val="00720D00"/>
    <w:rsid w:val="007348B2"/>
    <w:rsid w:val="007358FC"/>
    <w:rsid w:val="0075174D"/>
    <w:rsid w:val="007B5104"/>
    <w:rsid w:val="007C1B12"/>
    <w:rsid w:val="007C4A07"/>
    <w:rsid w:val="007E070E"/>
    <w:rsid w:val="007F3B58"/>
    <w:rsid w:val="00805644"/>
    <w:rsid w:val="00806E2B"/>
    <w:rsid w:val="0081602A"/>
    <w:rsid w:val="008405BE"/>
    <w:rsid w:val="00861789"/>
    <w:rsid w:val="008623ED"/>
    <w:rsid w:val="008779E3"/>
    <w:rsid w:val="008C05B7"/>
    <w:rsid w:val="008F6972"/>
    <w:rsid w:val="00997A59"/>
    <w:rsid w:val="009B6F55"/>
    <w:rsid w:val="009F3470"/>
    <w:rsid w:val="00A22F87"/>
    <w:rsid w:val="00A337E4"/>
    <w:rsid w:val="00A35EC6"/>
    <w:rsid w:val="00A771A6"/>
    <w:rsid w:val="00A96CC2"/>
    <w:rsid w:val="00AA0683"/>
    <w:rsid w:val="00AB5226"/>
    <w:rsid w:val="00AE7412"/>
    <w:rsid w:val="00AF5E5C"/>
    <w:rsid w:val="00B0478A"/>
    <w:rsid w:val="00B21E88"/>
    <w:rsid w:val="00B34AA3"/>
    <w:rsid w:val="00B76292"/>
    <w:rsid w:val="00B76CEF"/>
    <w:rsid w:val="00BB0FCF"/>
    <w:rsid w:val="00BB2C5D"/>
    <w:rsid w:val="00BE46A9"/>
    <w:rsid w:val="00BF1EE9"/>
    <w:rsid w:val="00C0202A"/>
    <w:rsid w:val="00C10FB4"/>
    <w:rsid w:val="00C3581F"/>
    <w:rsid w:val="00C37CDC"/>
    <w:rsid w:val="00C97F2A"/>
    <w:rsid w:val="00CB7A4B"/>
    <w:rsid w:val="00CE34C3"/>
    <w:rsid w:val="00D05DC4"/>
    <w:rsid w:val="00D073BA"/>
    <w:rsid w:val="00D13121"/>
    <w:rsid w:val="00D13CCD"/>
    <w:rsid w:val="00D140F2"/>
    <w:rsid w:val="00D30AC9"/>
    <w:rsid w:val="00D57C88"/>
    <w:rsid w:val="00D76A7F"/>
    <w:rsid w:val="00DB0E5D"/>
    <w:rsid w:val="00DB6919"/>
    <w:rsid w:val="00DE521C"/>
    <w:rsid w:val="00E103A3"/>
    <w:rsid w:val="00E16B8C"/>
    <w:rsid w:val="00EC5179"/>
    <w:rsid w:val="00EC6932"/>
    <w:rsid w:val="00EC6959"/>
    <w:rsid w:val="00ED10DC"/>
    <w:rsid w:val="00EE20AA"/>
    <w:rsid w:val="00EE6276"/>
    <w:rsid w:val="00F37E4D"/>
    <w:rsid w:val="00F47B32"/>
    <w:rsid w:val="00F81019"/>
    <w:rsid w:val="00F85D63"/>
    <w:rsid w:val="00F93782"/>
    <w:rsid w:val="00FC3E6F"/>
    <w:rsid w:val="00FD565F"/>
    <w:rsid w:val="00FF1868"/>
    <w:rsid w:val="073156AE"/>
    <w:rsid w:val="076A58DE"/>
    <w:rsid w:val="08901DF0"/>
    <w:rsid w:val="0B506B6B"/>
    <w:rsid w:val="0BA756A8"/>
    <w:rsid w:val="0CFA5C8F"/>
    <w:rsid w:val="0FA33022"/>
    <w:rsid w:val="113906C7"/>
    <w:rsid w:val="13993EBA"/>
    <w:rsid w:val="164A4FC4"/>
    <w:rsid w:val="16AD3F56"/>
    <w:rsid w:val="18107FDE"/>
    <w:rsid w:val="181C2F9F"/>
    <w:rsid w:val="1C2641D4"/>
    <w:rsid w:val="1D5816E3"/>
    <w:rsid w:val="2121294D"/>
    <w:rsid w:val="216E23A8"/>
    <w:rsid w:val="21BD1D16"/>
    <w:rsid w:val="225221B0"/>
    <w:rsid w:val="243A54DF"/>
    <w:rsid w:val="247A0342"/>
    <w:rsid w:val="248F69FB"/>
    <w:rsid w:val="2C7B69B8"/>
    <w:rsid w:val="2EB40864"/>
    <w:rsid w:val="2EFE27F3"/>
    <w:rsid w:val="305002CF"/>
    <w:rsid w:val="31B27260"/>
    <w:rsid w:val="32A04A70"/>
    <w:rsid w:val="32BD018C"/>
    <w:rsid w:val="342F10AE"/>
    <w:rsid w:val="34CA1742"/>
    <w:rsid w:val="34EC2F70"/>
    <w:rsid w:val="35114388"/>
    <w:rsid w:val="3799681C"/>
    <w:rsid w:val="3A9D2062"/>
    <w:rsid w:val="3D1F5FA7"/>
    <w:rsid w:val="3FC56369"/>
    <w:rsid w:val="4287471C"/>
    <w:rsid w:val="4309724C"/>
    <w:rsid w:val="48290558"/>
    <w:rsid w:val="485301FB"/>
    <w:rsid w:val="48CA44AC"/>
    <w:rsid w:val="49525D73"/>
    <w:rsid w:val="4B4A36C3"/>
    <w:rsid w:val="5611350F"/>
    <w:rsid w:val="579F1C8C"/>
    <w:rsid w:val="596D732D"/>
    <w:rsid w:val="5C002675"/>
    <w:rsid w:val="5F74369D"/>
    <w:rsid w:val="5F8C2992"/>
    <w:rsid w:val="5F9B0E3A"/>
    <w:rsid w:val="657C7093"/>
    <w:rsid w:val="65C966E6"/>
    <w:rsid w:val="67421373"/>
    <w:rsid w:val="689F3611"/>
    <w:rsid w:val="6C792212"/>
    <w:rsid w:val="6C8134A0"/>
    <w:rsid w:val="6D652FEF"/>
    <w:rsid w:val="709A6E76"/>
    <w:rsid w:val="72E64615"/>
    <w:rsid w:val="7AEA1C1D"/>
    <w:rsid w:val="7EBB4163"/>
    <w:rsid w:val="7FBC3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528" w:firstLineChars="165"/>
      <w:outlineLvl w:val="1"/>
    </w:pPr>
    <w:rPr>
      <w:rFonts w:hint="eastAsia" w:ascii="黑体" w:hAnsi="Times New Roman" w:eastAsia="黑体" w:cs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hint="eastAsia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ind w:firstLine="576"/>
    </w:pPr>
    <w:rPr>
      <w:sz w:val="28"/>
      <w:szCs w:val="20"/>
    </w:rPr>
  </w:style>
  <w:style w:type="paragraph" w:styleId="5">
    <w:name w:val="Plain Text"/>
    <w:basedOn w:val="1"/>
    <w:unhideWhenUsed/>
    <w:uiPriority w:val="99"/>
    <w:rPr>
      <w:rFonts w:ascii="宋体" w:hAnsi="Courier New" w:cs="华文中宋"/>
      <w:szCs w:val="21"/>
    </w:r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qFormat/>
    <w:uiPriority w:val="99"/>
    <w:rPr>
      <w:sz w:val="18"/>
      <w:szCs w:val="18"/>
    </w:rPr>
  </w:style>
  <w:style w:type="character" w:customStyle="1" w:styleId="16">
    <w:name w:val="页脚 Char"/>
    <w:basedOn w:val="12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</w:style>
  <w:style w:type="character" w:customStyle="1" w:styleId="19">
    <w:name w:val="页脚 Char1"/>
    <w:basedOn w:val="12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Char1"/>
    <w:basedOn w:val="12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0DC1F-F966-4BE3-A90A-7FDEFE578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413</Words>
  <Characters>2359</Characters>
  <Lines>19</Lines>
  <Paragraphs>5</Paragraphs>
  <TotalTime>133</TotalTime>
  <ScaleCrop>false</ScaleCrop>
  <LinksUpToDate>false</LinksUpToDate>
  <CharactersWithSpaces>2767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2019-12-30T12:23:00Z</dcterms:created>
  <dc:creator>user</dc:creator>
  <cp:lastModifiedBy>Administrator</cp:lastModifiedBy>
  <cp:lastPrinted>2017-01-05T07:57:00Z</cp:lastPrinted>
  <dcterms:modified xsi:type="dcterms:W3CDTF">2020-01-08T09:22:01Z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