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研究生食品微生物支部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崔彦龙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1994.03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16级食科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南校区15#402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2017年12月5日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</w:rPr>
              <w:t>亮身份：时刻牢记自己的党员身份，在生活、科研中时刻佩戴党徽。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left="0" w:leftChars="0" w:firstLine="0" w:firstLineChars="0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</w:rPr>
              <w:t>践承诺：积极参加党支部活动和学院活动，在参与活动过程中践行全心全意为同学服务的宗旨，在服务同学和他人的同时提高自己的能力以便更好地为他人服务。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</w:rPr>
              <w:t>3、树形象：时刻注意自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</w:rPr>
              <w:t>己的言行，做到言行一致，树立和发挥党员的先锋模范作用，积极向身边的党员同志学习，树立好党员的形象。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2F2"/>
    <w:multiLevelType w:val="singleLevel"/>
    <w:tmpl w:val="5C1142F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CA345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3</TotalTime>
  <ScaleCrop>false</ScaleCrop>
  <LinksUpToDate>false</LinksUpToDate>
  <CharactersWithSpaces>213</CharactersWithSpaces>
  <Application>WPS Office_11.1.0.8389_F1E327BC-269C-435d-A152-05C5408002CA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哀乐之颠思年华</cp:lastModifiedBy>
  <cp:lastPrinted>2018-03-26T08:22:00Z</cp:lastPrinted>
  <dcterms:modified xsi:type="dcterms:W3CDTF">2019-03-13T00:38:36Z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