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1A" w:rsidRPr="00A7041A" w:rsidRDefault="00A7041A" w:rsidP="00A7041A">
      <w:pPr>
        <w:spacing w:line="840" w:lineRule="auto"/>
        <w:rPr>
          <w:rFonts w:ascii="黑体" w:eastAsia="黑体" w:hAnsi="新宋体"/>
          <w:sz w:val="32"/>
          <w:szCs w:val="32"/>
        </w:rPr>
      </w:pPr>
      <w:r w:rsidRPr="00A7041A">
        <w:rPr>
          <w:rFonts w:ascii="黑体" w:eastAsia="黑体" w:hAnsi="新宋体" w:hint="eastAsia"/>
          <w:sz w:val="32"/>
          <w:szCs w:val="32"/>
        </w:rPr>
        <w:t>附件</w:t>
      </w:r>
      <w:r w:rsidR="001344DB">
        <w:rPr>
          <w:rFonts w:ascii="黑体" w:eastAsia="黑体" w:hAnsi="新宋体" w:hint="eastAsia"/>
          <w:sz w:val="32"/>
          <w:szCs w:val="32"/>
        </w:rPr>
        <w:t>一</w:t>
      </w:r>
    </w:p>
    <w:p w:rsidR="002E53CF" w:rsidRPr="002E53CF" w:rsidRDefault="002B116A" w:rsidP="002E53CF">
      <w:pPr>
        <w:spacing w:line="840" w:lineRule="auto"/>
        <w:jc w:val="center"/>
        <w:rPr>
          <w:rFonts w:ascii="黑体" w:eastAsia="黑体" w:hAnsi="新宋体"/>
          <w:sz w:val="10"/>
          <w:szCs w:val="10"/>
        </w:rPr>
      </w:pPr>
      <w:r w:rsidRPr="00C02EA8">
        <w:rPr>
          <w:rFonts w:ascii="黑体" w:eastAsia="黑体" w:hAnsi="新宋体" w:hint="eastAsia"/>
          <w:sz w:val="40"/>
          <w:szCs w:val="36"/>
        </w:rPr>
        <w:t>食品科学与工程学院</w:t>
      </w:r>
      <w:r w:rsidRPr="00C02EA8">
        <w:rPr>
          <w:rFonts w:ascii="黑体" w:eastAsia="黑体" w:hAnsi="新宋体"/>
          <w:sz w:val="40"/>
          <w:szCs w:val="36"/>
        </w:rPr>
        <w:t>2016</w:t>
      </w:r>
      <w:r w:rsidRPr="00C02EA8">
        <w:rPr>
          <w:rFonts w:ascii="黑体" w:eastAsia="黑体" w:hAnsi="新宋体" w:hint="eastAsia"/>
          <w:sz w:val="40"/>
          <w:szCs w:val="36"/>
        </w:rPr>
        <w:t>年工作要点</w:t>
      </w:r>
      <w:r w:rsidR="002E53CF">
        <w:rPr>
          <w:rFonts w:ascii="黑体" w:eastAsia="黑体" w:hAnsi="新宋体" w:hint="eastAsia"/>
          <w:sz w:val="10"/>
          <w:szCs w:val="10"/>
        </w:rPr>
        <w:t xml:space="preserve"> </w:t>
      </w:r>
    </w:p>
    <w:p w:rsidR="002B116A" w:rsidRPr="00830D40" w:rsidRDefault="002B116A" w:rsidP="002E53CF">
      <w:pPr>
        <w:spacing w:line="540" w:lineRule="exact"/>
        <w:ind w:firstLineChars="100" w:firstLine="341"/>
        <w:rPr>
          <w:rFonts w:ascii="仿宋_GB2312" w:eastAsia="仿宋_GB2312"/>
          <w:b/>
          <w:sz w:val="34"/>
          <w:szCs w:val="28"/>
        </w:rPr>
      </w:pPr>
      <w:r w:rsidRPr="00830D40">
        <w:rPr>
          <w:rFonts w:ascii="仿宋_GB2312" w:eastAsia="仿宋_GB2312" w:hint="eastAsia"/>
          <w:b/>
          <w:sz w:val="34"/>
          <w:szCs w:val="28"/>
        </w:rPr>
        <w:t>一、工作思路</w:t>
      </w:r>
      <w:bookmarkStart w:id="0" w:name="_GoBack"/>
      <w:bookmarkEnd w:id="0"/>
    </w:p>
    <w:p w:rsidR="002B116A" w:rsidRPr="00AF0773" w:rsidRDefault="002B116A" w:rsidP="002E53CF">
      <w:pPr>
        <w:widowControl/>
        <w:snapToGrid w:val="0"/>
        <w:spacing w:line="54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30D40">
        <w:rPr>
          <w:rFonts w:ascii="仿宋_GB2312" w:eastAsia="仿宋_GB2312" w:hAnsi="仿宋" w:hint="eastAsia"/>
          <w:sz w:val="32"/>
          <w:szCs w:val="32"/>
        </w:rPr>
        <w:t>全面贯彻落实</w:t>
      </w:r>
      <w:r>
        <w:rPr>
          <w:rFonts w:ascii="仿宋_GB2312" w:eastAsia="仿宋_GB2312" w:hAnsi="仿宋" w:hint="eastAsia"/>
          <w:sz w:val="32"/>
          <w:szCs w:val="32"/>
        </w:rPr>
        <w:t>党的</w:t>
      </w:r>
      <w:r w:rsidRPr="00830D40">
        <w:rPr>
          <w:rFonts w:ascii="仿宋_GB2312" w:eastAsia="仿宋_GB2312" w:hAnsi="仿宋" w:hint="eastAsia"/>
          <w:sz w:val="32"/>
          <w:szCs w:val="32"/>
        </w:rPr>
        <w:t>十八大精神，以科学发展观为指导，</w:t>
      </w:r>
      <w:r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在校党委和行政的领导下，以校院两级管理改革为突破口，紧密围绕学院“十三五”事业发展规划，深化教育教学改革，实施</w:t>
      </w:r>
      <w:proofErr w:type="gramStart"/>
      <w:r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人才强院战略</w:t>
      </w:r>
      <w:proofErr w:type="gramEnd"/>
      <w:r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，加强学科建设，提升科技创新能力，加快国际化办学步伐，凝练办学特色，提高办学水平，构建和谐学院。</w:t>
      </w:r>
    </w:p>
    <w:p w:rsidR="002B116A" w:rsidRPr="00AF0773" w:rsidRDefault="002B116A" w:rsidP="002E53CF">
      <w:pPr>
        <w:spacing w:line="620" w:lineRule="exact"/>
        <w:ind w:firstLineChars="100" w:firstLine="341"/>
        <w:rPr>
          <w:rFonts w:ascii="仿宋_GB2312" w:eastAsia="仿宋_GB2312"/>
          <w:b/>
          <w:color w:val="000000" w:themeColor="text1"/>
          <w:sz w:val="34"/>
          <w:szCs w:val="28"/>
        </w:rPr>
      </w:pPr>
      <w:r w:rsidRPr="00AF0773">
        <w:rPr>
          <w:rFonts w:ascii="仿宋_GB2312" w:eastAsia="仿宋_GB2312" w:hint="eastAsia"/>
          <w:b/>
          <w:color w:val="000000" w:themeColor="text1"/>
          <w:sz w:val="34"/>
          <w:szCs w:val="28"/>
        </w:rPr>
        <w:t>二、重点任务和工作举措</w:t>
      </w:r>
    </w:p>
    <w:p w:rsidR="002B116A" w:rsidRPr="00AF0773" w:rsidRDefault="002B116A" w:rsidP="00C83F24">
      <w:pPr>
        <w:widowControl/>
        <w:snapToGrid w:val="0"/>
        <w:spacing w:line="540" w:lineRule="exact"/>
        <w:ind w:firstLineChars="200" w:firstLine="643"/>
        <w:jc w:val="left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AF0773">
        <w:rPr>
          <w:rFonts w:ascii="仿宋_GB2312" w:eastAsia="仿宋_GB2312" w:hAnsi="仿宋"/>
          <w:b/>
          <w:color w:val="000000" w:themeColor="text1"/>
          <w:sz w:val="32"/>
          <w:szCs w:val="32"/>
        </w:rPr>
        <w:t>1</w:t>
      </w:r>
      <w:r w:rsidRPr="00AF0773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．深化人才培养模式改革</w:t>
      </w:r>
    </w:p>
    <w:p w:rsidR="00EB52F5" w:rsidRPr="00AF0773" w:rsidRDefault="002B116A" w:rsidP="00EB52F5">
      <w:pPr>
        <w:widowControl/>
        <w:snapToGrid w:val="0"/>
        <w:spacing w:line="54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做好</w:t>
      </w:r>
      <w:r w:rsidRPr="00AF0773">
        <w:rPr>
          <w:rFonts w:ascii="仿宋_GB2312" w:eastAsia="仿宋_GB2312" w:hAnsi="仿宋"/>
          <w:color w:val="000000" w:themeColor="text1"/>
          <w:sz w:val="32"/>
          <w:szCs w:val="32"/>
        </w:rPr>
        <w:t>2015</w:t>
      </w:r>
      <w:r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级按食品学科大类招收本科生的专业分流工作。继续实施“食品质量与安全”专业综合改革建设项目。</w:t>
      </w:r>
      <w:r w:rsidR="00EB52F5"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继续实施研究生教育综合改革试点项目。做好新设食品营养专业的论证工作。</w:t>
      </w:r>
      <w:r w:rsidR="000441A7"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做好2017年本科专业审核评估的准备工作。</w:t>
      </w:r>
    </w:p>
    <w:p w:rsidR="002B116A" w:rsidRPr="00AF0773" w:rsidRDefault="002B116A" w:rsidP="00C83F24">
      <w:pPr>
        <w:widowControl/>
        <w:snapToGrid w:val="0"/>
        <w:spacing w:line="540" w:lineRule="exact"/>
        <w:ind w:firstLineChars="200" w:firstLine="643"/>
        <w:jc w:val="left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AF0773">
        <w:rPr>
          <w:rFonts w:ascii="仿宋_GB2312" w:eastAsia="仿宋_GB2312" w:hAnsi="仿宋"/>
          <w:b/>
          <w:color w:val="000000" w:themeColor="text1"/>
          <w:sz w:val="32"/>
          <w:szCs w:val="32"/>
        </w:rPr>
        <w:t>2</w:t>
      </w:r>
      <w:r w:rsidRPr="00AF0773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．落实人才队伍建设意见</w:t>
      </w:r>
    </w:p>
    <w:p w:rsidR="002B116A" w:rsidRPr="00AF0773" w:rsidRDefault="002B116A" w:rsidP="00C83F2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贯彻落实学校《全面加强人才队伍建设的意见》文件精神，</w:t>
      </w:r>
      <w:r w:rsidR="00A94CF9"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调动</w:t>
      </w:r>
      <w:r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学院教职工力量，</w:t>
      </w:r>
      <w:r w:rsidR="00EB52F5"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充分利用</w:t>
      </w:r>
      <w:r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“中美食品安全联合研究中心”</w:t>
      </w:r>
      <w:r w:rsidR="00EB52F5"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海外</w:t>
      </w:r>
      <w:r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资源，加大高层次人才引进工作。</w:t>
      </w:r>
    </w:p>
    <w:p w:rsidR="002B116A" w:rsidRPr="00AF0773" w:rsidRDefault="002B116A" w:rsidP="00C83F24">
      <w:pPr>
        <w:widowControl/>
        <w:snapToGrid w:val="0"/>
        <w:spacing w:line="540" w:lineRule="exact"/>
        <w:ind w:firstLineChars="200" w:firstLine="643"/>
        <w:jc w:val="left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AF0773">
        <w:rPr>
          <w:rFonts w:ascii="仿宋_GB2312" w:eastAsia="仿宋_GB2312" w:hAnsi="仿宋"/>
          <w:b/>
          <w:color w:val="000000" w:themeColor="text1"/>
          <w:sz w:val="32"/>
          <w:szCs w:val="32"/>
        </w:rPr>
        <w:t>3</w:t>
      </w:r>
      <w:r w:rsidRPr="00AF0773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．实施学科建设规划</w:t>
      </w:r>
    </w:p>
    <w:p w:rsidR="007A661F" w:rsidRPr="00AF0773" w:rsidRDefault="002B116A" w:rsidP="007E6F18">
      <w:pPr>
        <w:widowControl/>
        <w:snapToGrid w:val="0"/>
        <w:spacing w:line="54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进一步凝练</w:t>
      </w:r>
      <w:r w:rsidR="00EB52F5" w:rsidRPr="00AF0773">
        <w:rPr>
          <w:rFonts w:ascii="仿宋_GB2312" w:eastAsia="仿宋_GB2312" w:hint="eastAsia"/>
          <w:color w:val="000000" w:themeColor="text1"/>
          <w:sz w:val="32"/>
          <w:szCs w:val="32"/>
        </w:rPr>
        <w:t>食品科学与工程一级学科的</w:t>
      </w:r>
      <w:r w:rsidRPr="00AF0773">
        <w:rPr>
          <w:rFonts w:ascii="仿宋_GB2312" w:eastAsia="仿宋_GB2312" w:hint="eastAsia"/>
          <w:color w:val="000000" w:themeColor="text1"/>
          <w:sz w:val="32"/>
          <w:szCs w:val="32"/>
        </w:rPr>
        <w:t>食品功能化加工工程技术、食品安全危害识别控制、食品营养与健康</w:t>
      </w:r>
      <w:r w:rsidRPr="00AF0773">
        <w:rPr>
          <w:rFonts w:ascii="仿宋_GB2312" w:eastAsia="仿宋_GB2312"/>
          <w:color w:val="000000" w:themeColor="text1"/>
          <w:sz w:val="32"/>
          <w:szCs w:val="32"/>
        </w:rPr>
        <w:t>3</w:t>
      </w:r>
      <w:r w:rsidRPr="00AF0773">
        <w:rPr>
          <w:rFonts w:ascii="仿宋_GB2312" w:eastAsia="仿宋_GB2312" w:hint="eastAsia"/>
          <w:color w:val="000000" w:themeColor="text1"/>
          <w:sz w:val="32"/>
          <w:szCs w:val="32"/>
        </w:rPr>
        <w:t>个</w:t>
      </w:r>
      <w:r w:rsidRPr="00AF0773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学科方向，</w:t>
      </w:r>
      <w:r w:rsidR="00EB52F5" w:rsidRPr="00AF0773">
        <w:rPr>
          <w:rFonts w:ascii="仿宋_GB2312" w:eastAsia="仿宋_GB2312" w:hint="eastAsia"/>
          <w:color w:val="000000" w:themeColor="text1"/>
          <w:sz w:val="32"/>
          <w:szCs w:val="32"/>
        </w:rPr>
        <w:t>加大学科公共平台的投入</w:t>
      </w:r>
      <w:r w:rsidR="002E53CF">
        <w:rPr>
          <w:rFonts w:ascii="仿宋_GB2312" w:eastAsia="仿宋_GB2312" w:hint="eastAsia"/>
          <w:color w:val="000000" w:themeColor="text1"/>
          <w:sz w:val="32"/>
          <w:szCs w:val="32"/>
        </w:rPr>
        <w:t>力度</w:t>
      </w:r>
      <w:r w:rsidR="00EB52F5" w:rsidRPr="00AF0773">
        <w:rPr>
          <w:rFonts w:ascii="仿宋_GB2312" w:eastAsia="仿宋_GB2312" w:hint="eastAsia"/>
          <w:color w:val="000000" w:themeColor="text1"/>
          <w:sz w:val="32"/>
          <w:szCs w:val="32"/>
        </w:rPr>
        <w:t>，重点建设食品分子生物学、食品安全检测、食品加工工程学科</w:t>
      </w:r>
      <w:r w:rsidR="002E53CF">
        <w:rPr>
          <w:rFonts w:ascii="仿宋_GB2312" w:eastAsia="仿宋_GB2312" w:hint="eastAsia"/>
          <w:color w:val="000000" w:themeColor="text1"/>
          <w:sz w:val="32"/>
          <w:szCs w:val="32"/>
        </w:rPr>
        <w:t>3个基础研究</w:t>
      </w:r>
      <w:r w:rsidR="00EB52F5" w:rsidRPr="00AF0773">
        <w:rPr>
          <w:rFonts w:ascii="仿宋_GB2312" w:eastAsia="仿宋_GB2312" w:hint="eastAsia"/>
          <w:color w:val="000000" w:themeColor="text1"/>
          <w:sz w:val="32"/>
          <w:szCs w:val="32"/>
        </w:rPr>
        <w:t>平台，</w:t>
      </w:r>
      <w:r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不断提升学科建设水平，力争食品学科领域</w:t>
      </w:r>
      <w:r w:rsidRPr="00AF0773">
        <w:rPr>
          <w:rFonts w:ascii="仿宋_GB2312" w:eastAsia="仿宋_GB2312" w:hAnsi="仿宋"/>
          <w:color w:val="000000" w:themeColor="text1"/>
          <w:sz w:val="32"/>
          <w:szCs w:val="32"/>
        </w:rPr>
        <w:t>ESI</w:t>
      </w:r>
      <w:r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学科排名较</w:t>
      </w:r>
      <w:r w:rsidRPr="00AF0773">
        <w:rPr>
          <w:rFonts w:ascii="仿宋_GB2312" w:eastAsia="仿宋_GB2312" w:hAnsi="仿宋"/>
          <w:color w:val="000000" w:themeColor="text1"/>
          <w:sz w:val="32"/>
          <w:szCs w:val="32"/>
        </w:rPr>
        <w:t>2015</w:t>
      </w:r>
      <w:r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年提前。</w:t>
      </w:r>
      <w:r w:rsidR="007E6F18"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积极做好食品科学与工程学科点的预评估工作。</w:t>
      </w:r>
    </w:p>
    <w:p w:rsidR="002B116A" w:rsidRPr="00AF0773" w:rsidRDefault="002B116A" w:rsidP="00C83F24">
      <w:pPr>
        <w:widowControl/>
        <w:snapToGrid w:val="0"/>
        <w:spacing w:line="540" w:lineRule="exact"/>
        <w:ind w:firstLineChars="200" w:firstLine="643"/>
        <w:jc w:val="left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AF0773">
        <w:rPr>
          <w:rFonts w:ascii="仿宋_GB2312" w:eastAsia="仿宋_GB2312" w:hAnsi="仿宋"/>
          <w:b/>
          <w:color w:val="000000" w:themeColor="text1"/>
          <w:sz w:val="32"/>
          <w:szCs w:val="32"/>
        </w:rPr>
        <w:t>4</w:t>
      </w:r>
      <w:r w:rsidRPr="00AF0773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．提升科技创新能力</w:t>
      </w:r>
    </w:p>
    <w:p w:rsidR="002B116A" w:rsidRPr="00AF0773" w:rsidRDefault="002B116A" w:rsidP="00C83F24">
      <w:pPr>
        <w:widowControl/>
        <w:snapToGrid w:val="0"/>
        <w:spacing w:line="540" w:lineRule="exact"/>
        <w:ind w:firstLineChars="200" w:firstLine="640"/>
        <w:jc w:val="left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围绕国家食品</w:t>
      </w:r>
      <w:r w:rsidR="000441A7"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加工、食品</w:t>
      </w:r>
      <w:r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安全</w:t>
      </w:r>
      <w:r w:rsidR="000441A7"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、食品营养等</w:t>
      </w:r>
      <w:r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领域全产业链重大关键技术问题，组织申报国家、省部级重大科研项目，</w:t>
      </w:r>
      <w:r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争取更大科研资源。</w:t>
      </w:r>
      <w:r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做好科技成果奖的申报工作，提升科技成果的</w:t>
      </w:r>
      <w:r w:rsidR="00EB52F5"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产出能力。做好国家</w:t>
      </w:r>
      <w:r w:rsidR="002E53CF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、</w:t>
      </w:r>
      <w:r w:rsidR="00EB52F5"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省部级科研基地的建设与评估验收工作。</w:t>
      </w:r>
    </w:p>
    <w:p w:rsidR="002B116A" w:rsidRPr="00AF0773" w:rsidRDefault="002B116A" w:rsidP="00C83F24">
      <w:pPr>
        <w:widowControl/>
        <w:snapToGrid w:val="0"/>
        <w:spacing w:line="540" w:lineRule="exact"/>
        <w:ind w:firstLineChars="200" w:firstLine="643"/>
        <w:jc w:val="left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AF0773">
        <w:rPr>
          <w:rFonts w:ascii="仿宋_GB2312" w:eastAsia="仿宋_GB2312" w:hAnsi="仿宋"/>
          <w:b/>
          <w:color w:val="000000" w:themeColor="text1"/>
          <w:sz w:val="32"/>
          <w:szCs w:val="32"/>
        </w:rPr>
        <w:t>5</w:t>
      </w:r>
      <w:r w:rsidRPr="00AF0773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．提高国际化办学水平</w:t>
      </w:r>
    </w:p>
    <w:p w:rsidR="002B116A" w:rsidRPr="00AF0773" w:rsidRDefault="002B116A" w:rsidP="00C83F24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实施好中外合作办学食品科学与工程本科生“</w:t>
      </w:r>
      <w:r w:rsidRPr="00AF0773">
        <w:rPr>
          <w:rFonts w:ascii="仿宋_GB2312" w:eastAsia="仿宋_GB2312" w:hAnsi="仿宋"/>
          <w:color w:val="000000" w:themeColor="text1"/>
          <w:sz w:val="32"/>
          <w:szCs w:val="32"/>
        </w:rPr>
        <w:t>3+1</w:t>
      </w:r>
      <w:r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”项目，创建全新的</w:t>
      </w:r>
      <w:r w:rsidR="00EB52F5"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国际化教育教学模式，制定国际化师资队伍</w:t>
      </w:r>
      <w:r w:rsidR="006A4F62"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培训计划，</w:t>
      </w:r>
      <w:r w:rsidR="00472BBB"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0441A7"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内</w:t>
      </w:r>
      <w:r w:rsidR="006A4F62"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派2-3名教师赴</w:t>
      </w:r>
      <w:r w:rsidR="00847047"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美国内布拉斯加林肯</w:t>
      </w:r>
      <w:r w:rsidR="006A4F62"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大学进行专业基础课与专业课程的全英文授课培训</w:t>
      </w:r>
      <w:r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。开展本科生教育国际工</w:t>
      </w:r>
      <w:r w:rsidRPr="002E53CF">
        <w:rPr>
          <w:rFonts w:ascii="仿宋_GB2312" w:eastAsia="仿宋_GB2312" w:hAnsi="仿宋" w:hint="eastAsia"/>
          <w:color w:val="000000" w:themeColor="text1"/>
          <w:sz w:val="32"/>
          <w:szCs w:val="32"/>
        </w:rPr>
        <w:t>程认证和美国</w:t>
      </w:r>
      <w:r w:rsidRPr="002E53CF">
        <w:rPr>
          <w:rFonts w:ascii="仿宋_GB2312" w:eastAsia="仿宋_GB2312" w:hAnsi="仿宋"/>
          <w:color w:val="000000" w:themeColor="text1"/>
          <w:sz w:val="32"/>
          <w:szCs w:val="32"/>
        </w:rPr>
        <w:t>IF</w:t>
      </w:r>
      <w:r w:rsidRPr="002E53CF">
        <w:rPr>
          <w:rFonts w:ascii="仿宋_GB2312" w:eastAsia="仿宋_GB2312" w:hAnsi="仿宋" w:hint="eastAsia"/>
          <w:color w:val="000000" w:themeColor="text1"/>
          <w:sz w:val="32"/>
          <w:szCs w:val="32"/>
        </w:rPr>
        <w:t>认证，</w:t>
      </w:r>
      <w:r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促进学院本科专业教育教学国际化提升。</w:t>
      </w:r>
    </w:p>
    <w:p w:rsidR="002B116A" w:rsidRPr="00AF0773" w:rsidRDefault="002B116A" w:rsidP="00C83F24">
      <w:pPr>
        <w:widowControl/>
        <w:snapToGrid w:val="0"/>
        <w:spacing w:line="540" w:lineRule="exact"/>
        <w:ind w:firstLineChars="200" w:firstLine="643"/>
        <w:jc w:val="left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AF0773">
        <w:rPr>
          <w:rFonts w:ascii="仿宋_GB2312" w:eastAsia="仿宋_GB2312" w:hAnsi="仿宋"/>
          <w:b/>
          <w:color w:val="000000" w:themeColor="text1"/>
          <w:sz w:val="32"/>
          <w:szCs w:val="32"/>
        </w:rPr>
        <w:t>6</w:t>
      </w:r>
      <w:r w:rsidRPr="00AF0773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．加强党建和学生工作</w:t>
      </w:r>
    </w:p>
    <w:p w:rsidR="00472BBB" w:rsidRPr="00AF0773" w:rsidRDefault="00472BBB" w:rsidP="00C83F24">
      <w:pPr>
        <w:snapToGrid w:val="0"/>
        <w:spacing w:line="540" w:lineRule="exact"/>
        <w:ind w:firstLineChars="200" w:firstLine="640"/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  <w:r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以组织建设、思想文化建设、党风廉政建设、教风学风建设为重点，严格落实学校年度工作任务，巩固深化“三严三实”专题教育成果，抓好整改工作的落实，从严落实好</w:t>
      </w:r>
      <w:r w:rsidR="00D07FD8"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 xml:space="preserve"> </w:t>
      </w:r>
      <w:r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“</w:t>
      </w:r>
      <w:r w:rsidR="00D07FD8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两学一做</w:t>
      </w:r>
      <w:r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”教育工作，加强班子和支部建设，提升师生员工综合素质，推动学院科学发展。完成学院教代会、工会委员、</w:t>
      </w:r>
      <w:r w:rsidR="00981172"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党支部换届工作。</w:t>
      </w:r>
    </w:p>
    <w:p w:rsidR="00981172" w:rsidRPr="00AF0773" w:rsidRDefault="00981172" w:rsidP="00981172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  <w:r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落实立德树人根本任务，培育和践行社会主义核心价值</w:t>
      </w:r>
      <w:r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lastRenderedPageBreak/>
        <w:t>观，以素质教育为基础，加强学风建设，提升学生教育管理水平。</w:t>
      </w:r>
    </w:p>
    <w:p w:rsidR="00981172" w:rsidRPr="00AF0773" w:rsidRDefault="00981172" w:rsidP="00981172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  <w:r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学生学风建设以四、六级通过率、出国深造率、考研率、就业率为抓手，全面提升学生综合素质</w:t>
      </w:r>
      <w:r w:rsidR="002E53CF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。</w:t>
      </w:r>
      <w:r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不断开拓就业市场，</w:t>
      </w:r>
      <w:r w:rsidR="002E53CF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实现毕业生充分就业，提高毕业生就业质量。加强招生宣传工作，全面提升学生生源</w:t>
      </w:r>
      <w:r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质量。</w:t>
      </w:r>
    </w:p>
    <w:p w:rsidR="002B116A" w:rsidRPr="00AF0773" w:rsidRDefault="002B116A" w:rsidP="00C83F24">
      <w:pPr>
        <w:widowControl/>
        <w:snapToGrid w:val="0"/>
        <w:spacing w:line="540" w:lineRule="exact"/>
        <w:ind w:firstLineChars="200" w:firstLine="643"/>
        <w:jc w:val="left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AF0773">
        <w:rPr>
          <w:rFonts w:ascii="仿宋_GB2312" w:eastAsia="仿宋_GB2312" w:hAnsi="仿宋"/>
          <w:b/>
          <w:color w:val="000000" w:themeColor="text1"/>
          <w:sz w:val="32"/>
          <w:szCs w:val="32"/>
        </w:rPr>
        <w:t>7</w:t>
      </w:r>
      <w:r w:rsidRPr="00AF0773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．构建学院治理结构与治理体系</w:t>
      </w:r>
    </w:p>
    <w:p w:rsidR="002B116A" w:rsidRPr="00AF0773" w:rsidRDefault="002B116A" w:rsidP="00C83F24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  <w:r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以校院两级管理改革为突破口，</w:t>
      </w:r>
      <w:r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加强制度建设，厘清学院议事规则，推进院务公开，团结学院全体职工以学院事业发展为重，共同营造学院风清气正的工作环境。</w:t>
      </w:r>
    </w:p>
    <w:p w:rsidR="00EB52F5" w:rsidRPr="00AF0773" w:rsidRDefault="00EB52F5" w:rsidP="00A94CF9">
      <w:pPr>
        <w:widowControl/>
        <w:snapToGrid w:val="0"/>
        <w:spacing w:line="540" w:lineRule="exact"/>
        <w:ind w:firstLineChars="200" w:firstLine="643"/>
        <w:jc w:val="left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AF0773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8.</w:t>
      </w:r>
      <w:r w:rsidR="00847047" w:rsidRPr="00AF0773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食品大楼的规划与建设</w:t>
      </w:r>
    </w:p>
    <w:p w:rsidR="00EB52F5" w:rsidRDefault="00847047" w:rsidP="000441A7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按照国际化办学思路，做好食品大楼的文化建设工作。</w:t>
      </w:r>
      <w:r w:rsidR="000441A7"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申报建设食品感官评定实验室，筹建食品工程实习车间。</w:t>
      </w:r>
      <w:r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完成</w:t>
      </w:r>
      <w:r w:rsidR="00A94CF9" w:rsidRPr="00AF0773">
        <w:rPr>
          <w:rFonts w:ascii="仿宋_GB2312" w:eastAsia="仿宋_GB2312" w:hint="eastAsia"/>
          <w:color w:val="000000" w:themeColor="text1"/>
          <w:sz w:val="30"/>
          <w:szCs w:val="30"/>
        </w:rPr>
        <w:t>质检中心</w:t>
      </w:r>
      <w:r w:rsidRPr="00AF0773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、认证中心、植物新品种中心的搬迁工</w:t>
      </w:r>
      <w:r>
        <w:rPr>
          <w:rFonts w:ascii="仿宋_GB2312" w:eastAsia="仿宋_GB2312" w:hAnsi="仿宋" w:hint="eastAsia"/>
          <w:bCs/>
          <w:sz w:val="32"/>
          <w:szCs w:val="32"/>
        </w:rPr>
        <w:t>作</w:t>
      </w:r>
      <w:r w:rsidR="00A94CF9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0441A7" w:rsidRPr="000441A7" w:rsidRDefault="000441A7" w:rsidP="000441A7">
      <w:pPr>
        <w:widowControl/>
        <w:snapToGrid w:val="0"/>
        <w:spacing w:line="54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0441A7">
        <w:rPr>
          <w:rFonts w:ascii="仿宋_GB2312" w:eastAsia="仿宋_GB2312" w:hAnsi="仿宋" w:hint="eastAsia"/>
          <w:b/>
          <w:sz w:val="32"/>
          <w:szCs w:val="32"/>
        </w:rPr>
        <w:t>9.校院两级管理启动</w:t>
      </w:r>
      <w:r>
        <w:rPr>
          <w:rFonts w:ascii="仿宋_GB2312" w:eastAsia="仿宋_GB2312" w:hAnsi="仿宋" w:hint="eastAsia"/>
          <w:b/>
          <w:sz w:val="32"/>
          <w:szCs w:val="32"/>
        </w:rPr>
        <w:t>与</w:t>
      </w:r>
      <w:r w:rsidRPr="000441A7">
        <w:rPr>
          <w:rFonts w:ascii="仿宋_GB2312" w:eastAsia="仿宋_GB2312" w:hAnsi="仿宋" w:hint="eastAsia"/>
          <w:b/>
          <w:sz w:val="32"/>
          <w:szCs w:val="32"/>
        </w:rPr>
        <w:t>实施</w:t>
      </w:r>
    </w:p>
    <w:p w:rsidR="000441A7" w:rsidRPr="000441A7" w:rsidRDefault="00892E02" w:rsidP="00892E02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推进</w:t>
      </w:r>
      <w:r w:rsidR="002E53CF" w:rsidRPr="00AF0773">
        <w:rPr>
          <w:rFonts w:ascii="仿宋_GB2312" w:eastAsia="仿宋_GB2312" w:hAnsi="仿宋" w:hint="eastAsia"/>
          <w:color w:val="000000" w:themeColor="text1"/>
          <w:sz w:val="32"/>
          <w:szCs w:val="32"/>
        </w:rPr>
        <w:t>学院“十三五”事业发展规划</w:t>
      </w:r>
      <w:r>
        <w:rPr>
          <w:rFonts w:ascii="仿宋_GB2312" w:eastAsia="仿宋_GB2312" w:hAnsi="仿宋" w:hint="eastAsia"/>
          <w:sz w:val="32"/>
          <w:szCs w:val="32"/>
        </w:rPr>
        <w:t>的启动，</w:t>
      </w:r>
      <w:r w:rsidRPr="00892E02">
        <w:rPr>
          <w:rFonts w:ascii="仿宋_GB2312" w:eastAsia="仿宋_GB2312" w:hAnsi="仿宋" w:hint="eastAsia"/>
          <w:sz w:val="32"/>
          <w:szCs w:val="32"/>
        </w:rPr>
        <w:t>开展</w:t>
      </w:r>
      <w:r w:rsidR="000441A7">
        <w:rPr>
          <w:rFonts w:ascii="仿宋_GB2312" w:eastAsia="仿宋_GB2312" w:hAnsi="仿宋" w:hint="eastAsia"/>
          <w:sz w:val="32"/>
          <w:szCs w:val="32"/>
        </w:rPr>
        <w:t>“人才队伍建设年”活动</w:t>
      </w:r>
      <w:r w:rsidR="00AD70C5">
        <w:rPr>
          <w:rFonts w:ascii="仿宋_GB2312" w:eastAsia="仿宋_GB2312" w:hAnsi="仿宋" w:hint="eastAsia"/>
          <w:sz w:val="32"/>
          <w:szCs w:val="32"/>
        </w:rPr>
        <w:t>，落实</w:t>
      </w:r>
      <w:r w:rsidRPr="00892E02">
        <w:rPr>
          <w:rFonts w:ascii="仿宋_GB2312" w:eastAsia="仿宋_GB2312" w:hAnsi="仿宋" w:hint="eastAsia"/>
          <w:sz w:val="32"/>
          <w:szCs w:val="32"/>
        </w:rPr>
        <w:t>校院两级管理。</w:t>
      </w:r>
    </w:p>
    <w:p w:rsidR="002B116A" w:rsidRDefault="002B116A" w:rsidP="009660A8">
      <w:pPr>
        <w:snapToGrid w:val="0"/>
        <w:spacing w:line="520" w:lineRule="exact"/>
        <w:ind w:firstLineChars="200" w:firstLine="640"/>
        <w:jc w:val="left"/>
      </w:pPr>
      <w:r w:rsidRPr="00816852">
        <w:rPr>
          <w:rFonts w:ascii="仿宋_GB2312" w:eastAsia="仿宋_GB2312" w:hAnsi="仿宋" w:hint="eastAsia"/>
          <w:sz w:val="32"/>
          <w:szCs w:val="32"/>
        </w:rPr>
        <w:t>进一步加强学院领导班子建设，通过召开领导班子政治理论学习会、务虚会和民主生活会等形式，</w:t>
      </w:r>
      <w:r w:rsidR="00EB52F5">
        <w:rPr>
          <w:rFonts w:ascii="仿宋_GB2312" w:eastAsia="仿宋_GB2312" w:hAnsi="仿宋" w:hint="eastAsia"/>
          <w:sz w:val="32"/>
          <w:szCs w:val="32"/>
        </w:rPr>
        <w:t>不断提升政治理论水平和工作能力，</w:t>
      </w:r>
      <w:r w:rsidRPr="00816852">
        <w:rPr>
          <w:rFonts w:ascii="仿宋_GB2312" w:eastAsia="仿宋_GB2312" w:hAnsi="仿宋" w:hint="eastAsia"/>
          <w:sz w:val="32"/>
          <w:szCs w:val="32"/>
        </w:rPr>
        <w:t>不断提高领导班子的决策力和执行力。</w:t>
      </w:r>
    </w:p>
    <w:sectPr w:rsidR="002B116A" w:rsidSect="00D23C1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41" w:rsidRDefault="00507E41" w:rsidP="001F1BE1">
      <w:r>
        <w:separator/>
      </w:r>
    </w:p>
  </w:endnote>
  <w:endnote w:type="continuationSeparator" w:id="0">
    <w:p w:rsidR="00507E41" w:rsidRDefault="00507E41" w:rsidP="001F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6A" w:rsidRDefault="002B116A" w:rsidP="00EA0C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16A" w:rsidRDefault="002B11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6A" w:rsidRDefault="002B116A" w:rsidP="00EA0C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44DB">
      <w:rPr>
        <w:rStyle w:val="a5"/>
        <w:noProof/>
      </w:rPr>
      <w:t>2</w:t>
    </w:r>
    <w:r>
      <w:rPr>
        <w:rStyle w:val="a5"/>
      </w:rPr>
      <w:fldChar w:fldCharType="end"/>
    </w:r>
  </w:p>
  <w:p w:rsidR="002B116A" w:rsidRDefault="002B11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41" w:rsidRDefault="00507E41" w:rsidP="001F1BE1">
      <w:r>
        <w:separator/>
      </w:r>
    </w:p>
  </w:footnote>
  <w:footnote w:type="continuationSeparator" w:id="0">
    <w:p w:rsidR="00507E41" w:rsidRDefault="00507E41" w:rsidP="001F1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E1"/>
    <w:rsid w:val="00036D35"/>
    <w:rsid w:val="000441A7"/>
    <w:rsid w:val="0006693E"/>
    <w:rsid w:val="000B4167"/>
    <w:rsid w:val="000D7B2E"/>
    <w:rsid w:val="000F2C0D"/>
    <w:rsid w:val="001344DB"/>
    <w:rsid w:val="00141A08"/>
    <w:rsid w:val="00152EA5"/>
    <w:rsid w:val="001B393D"/>
    <w:rsid w:val="001F1BE1"/>
    <w:rsid w:val="00210B0A"/>
    <w:rsid w:val="00241988"/>
    <w:rsid w:val="002538A6"/>
    <w:rsid w:val="002B116A"/>
    <w:rsid w:val="002E53CF"/>
    <w:rsid w:val="002E6A79"/>
    <w:rsid w:val="003354DC"/>
    <w:rsid w:val="00344276"/>
    <w:rsid w:val="003C1A05"/>
    <w:rsid w:val="003F5A94"/>
    <w:rsid w:val="0042562C"/>
    <w:rsid w:val="00472BBB"/>
    <w:rsid w:val="00507E41"/>
    <w:rsid w:val="00606847"/>
    <w:rsid w:val="00630878"/>
    <w:rsid w:val="00693971"/>
    <w:rsid w:val="006A4F62"/>
    <w:rsid w:val="006A6437"/>
    <w:rsid w:val="00792BA1"/>
    <w:rsid w:val="007A661F"/>
    <w:rsid w:val="007E6F18"/>
    <w:rsid w:val="00816852"/>
    <w:rsid w:val="00830D40"/>
    <w:rsid w:val="0084494A"/>
    <w:rsid w:val="00847047"/>
    <w:rsid w:val="00852A78"/>
    <w:rsid w:val="0085726E"/>
    <w:rsid w:val="00873D7E"/>
    <w:rsid w:val="00892E02"/>
    <w:rsid w:val="008C01FC"/>
    <w:rsid w:val="008F6DBE"/>
    <w:rsid w:val="00912587"/>
    <w:rsid w:val="009217F7"/>
    <w:rsid w:val="0094085A"/>
    <w:rsid w:val="009660A8"/>
    <w:rsid w:val="00981172"/>
    <w:rsid w:val="00A7041A"/>
    <w:rsid w:val="00A94CF9"/>
    <w:rsid w:val="00AB6C68"/>
    <w:rsid w:val="00AD296C"/>
    <w:rsid w:val="00AD70C5"/>
    <w:rsid w:val="00AF0773"/>
    <w:rsid w:val="00AF66AA"/>
    <w:rsid w:val="00B578BB"/>
    <w:rsid w:val="00B9681E"/>
    <w:rsid w:val="00C02EA8"/>
    <w:rsid w:val="00C83F24"/>
    <w:rsid w:val="00CC4054"/>
    <w:rsid w:val="00CE09EE"/>
    <w:rsid w:val="00D07FD8"/>
    <w:rsid w:val="00D23C17"/>
    <w:rsid w:val="00D87418"/>
    <w:rsid w:val="00D97789"/>
    <w:rsid w:val="00E4678D"/>
    <w:rsid w:val="00EA0C37"/>
    <w:rsid w:val="00EB52F5"/>
    <w:rsid w:val="00EE3856"/>
    <w:rsid w:val="00F2095E"/>
    <w:rsid w:val="00F2794A"/>
    <w:rsid w:val="00F50DEA"/>
    <w:rsid w:val="00F92991"/>
    <w:rsid w:val="00FA4648"/>
    <w:rsid w:val="00FA4DBC"/>
    <w:rsid w:val="00FF21E3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E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F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F1BE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F1BE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F1BE1"/>
    <w:rPr>
      <w:rFonts w:cs="Times New Roman"/>
      <w:sz w:val="18"/>
      <w:szCs w:val="18"/>
    </w:rPr>
  </w:style>
  <w:style w:type="character" w:styleId="a5">
    <w:name w:val="page number"/>
    <w:uiPriority w:val="99"/>
    <w:rsid w:val="001F1BE1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B578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78BB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E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F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F1BE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F1BE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F1BE1"/>
    <w:rPr>
      <w:rFonts w:cs="Times New Roman"/>
      <w:sz w:val="18"/>
      <w:szCs w:val="18"/>
    </w:rPr>
  </w:style>
  <w:style w:type="character" w:styleId="a5">
    <w:name w:val="page number"/>
    <w:uiPriority w:val="99"/>
    <w:rsid w:val="001F1BE1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B578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78B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侯东丽</dc:creator>
  <cp:lastModifiedBy>侯东丽</cp:lastModifiedBy>
  <cp:revision>7</cp:revision>
  <cp:lastPrinted>2016-04-08T01:58:00Z</cp:lastPrinted>
  <dcterms:created xsi:type="dcterms:W3CDTF">2016-03-18T02:03:00Z</dcterms:created>
  <dcterms:modified xsi:type="dcterms:W3CDTF">2016-04-19T08:02:00Z</dcterms:modified>
</cp:coreProperties>
</file>